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 w:beforeAutospacing="1" w:after="0"/>
        <w:jc w:val="both"/>
        <w:rPr>
          <w:rFonts w:ascii="Times New Roman" w:hAnsi="Times New Roman" w:eastAsia="Times New Roman" w:cs="Times New Roman"/>
          <w:sz w:val="24"/>
          <w:szCs w:val="24"/>
          <w:lang w:eastAsia="pt-BR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pt-BR"/>
        </w:rPr>
        <w:drawing>
          <wp:anchor behindDoc="0" distT="0" distB="0" distL="0" distR="0" simplePos="0" locked="0" layoutInCell="0" allowOverlap="1" relativeHeight="2">
            <wp:simplePos x="0" y="0"/>
            <wp:positionH relativeFrom="page">
              <wp:align>center</wp:align>
            </wp:positionH>
            <wp:positionV relativeFrom="line">
              <wp:posOffset>635</wp:posOffset>
            </wp:positionV>
            <wp:extent cx="666750" cy="719455"/>
            <wp:effectExtent l="0" t="0" r="0" b="0"/>
            <wp:wrapSquare wrapText="bothSides"/>
            <wp:docPr id="1" name="Imagem 2" descr="C:\Users\HMRSALC1\AppData\Local\Temp\lu7440e6fdw.tmp\lu7440e6fe5_tmp_e8d5689d68a6d5a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2" descr="C:\Users\HMRSALC1\AppData\Local\Temp\lu7440e6fdw.tmp\lu7440e6fe5_tmp_e8d5689d68a6d5a6.png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b/>
          <w:bCs/>
          <w:sz w:val="24"/>
          <w:szCs w:val="24"/>
          <w:lang w:eastAsia="pt-BR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pt-BR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b/>
          <w:bCs/>
          <w:sz w:val="24"/>
          <w:szCs w:val="24"/>
          <w:lang w:eastAsia="pt-BR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pt-BR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b/>
          <w:bCs/>
          <w:sz w:val="24"/>
          <w:szCs w:val="24"/>
          <w:lang w:eastAsia="pt-BR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pt-BR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b/>
          <w:bCs/>
          <w:sz w:val="24"/>
          <w:szCs w:val="24"/>
          <w:lang w:eastAsia="pt-BR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pt-BR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sz w:val="24"/>
          <w:szCs w:val="24"/>
          <w:lang w:eastAsia="pt-BR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pt-BR"/>
        </w:rPr>
        <w:t>MINISTÉRIO DA DEFESA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sz w:val="24"/>
          <w:szCs w:val="24"/>
          <w:lang w:eastAsia="pt-BR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pt-BR"/>
        </w:rPr>
        <w:t>EXÉRCITO BRASILEIRO</w:t>
      </w:r>
    </w:p>
    <w:p>
      <w:pPr>
        <w:pStyle w:val="Normal"/>
        <w:keepNext w:val="true"/>
        <w:numPr>
          <w:ilvl w:val="0"/>
          <w:numId w:val="0"/>
        </w:numPr>
        <w:spacing w:lineRule="auto" w:line="240" w:before="0" w:afterAutospacing="1"/>
        <w:ind w:hanging="431" w:left="431"/>
        <w:jc w:val="center"/>
        <w:outlineLvl w:val="0"/>
        <w:rPr>
          <w:rFonts w:ascii="Times New Roman" w:hAnsi="Times New Roman" w:eastAsia="Times New Roman" w:cs="Times New Roman"/>
          <w:b/>
          <w:bCs/>
          <w:kern w:val="2"/>
          <w:sz w:val="24"/>
          <w:szCs w:val="24"/>
          <w:lang w:eastAsia="pt-BR"/>
        </w:rPr>
      </w:pPr>
      <w:r>
        <w:rPr>
          <w:rFonts w:eastAsia="Times New Roman" w:cs="Times New Roman" w:ascii="Times New Roman" w:hAnsi="Times New Roman"/>
          <w:b/>
          <w:bCs/>
          <w:kern w:val="2"/>
          <w:sz w:val="24"/>
          <w:szCs w:val="24"/>
          <w:lang w:eastAsia="pt-BR"/>
        </w:rPr>
        <w:t>HOSPITAL MILITAR DE RESENDE</w:t>
      </w:r>
    </w:p>
    <w:p>
      <w:pPr>
        <w:pStyle w:val="Normal"/>
        <w:spacing w:lineRule="auto" w:line="240" w:beforeAutospacing="1" w:after="0"/>
        <w:ind w:hanging="431" w:left="431"/>
        <w:jc w:val="center"/>
        <w:rPr>
          <w:rFonts w:ascii="Times New Roman" w:hAnsi="Times New Roman" w:eastAsia="Times New Roman" w:cs="Times New Roman"/>
          <w:sz w:val="24"/>
          <w:szCs w:val="24"/>
          <w:lang w:eastAsia="pt-BR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pt-BR"/>
        </w:rPr>
      </w:r>
    </w:p>
    <w:p>
      <w:pPr>
        <w:pStyle w:val="Normal"/>
        <w:spacing w:lineRule="auto" w:line="240" w:beforeAutospacing="1" w:after="0"/>
        <w:ind w:hanging="431" w:left="431"/>
        <w:jc w:val="center"/>
        <w:rPr>
          <w:rFonts w:ascii="Times New Roman" w:hAnsi="Times New Roman" w:eastAsia="Times New Roman" w:cs="Times New Roman"/>
          <w:sz w:val="24"/>
          <w:szCs w:val="24"/>
          <w:lang w:eastAsia="pt-BR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pt-BR"/>
        </w:rPr>
        <w:t>INSTRUMENTO DE MEDIÇÃO DE RESULTADOS (IMR)</w:t>
      </w:r>
    </w:p>
    <w:p>
      <w:pPr>
        <w:pStyle w:val="Normal"/>
        <w:spacing w:lineRule="auto" w:line="240" w:beforeAutospacing="1" w:after="0"/>
        <w:ind w:hanging="431" w:left="431"/>
        <w:jc w:val="center"/>
        <w:rPr>
          <w:rFonts w:ascii="Times New Roman" w:hAnsi="Times New Roman" w:eastAsia="Times New Roman" w:cs="Times New Roman"/>
          <w:sz w:val="24"/>
          <w:szCs w:val="24"/>
          <w:lang w:eastAsia="pt-BR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pt-BR"/>
        </w:rPr>
        <w:t>METODOLOGIA DE AVALIAÇÃO PARA ACEITAÇÃO DOS SERVIÇOS</w:t>
      </w:r>
    </w:p>
    <w:p>
      <w:pPr>
        <w:pStyle w:val="Normal"/>
        <w:spacing w:lineRule="auto" w:line="240" w:beforeAutospacing="1" w:after="0"/>
        <w:ind w:hanging="431" w:left="431"/>
        <w:jc w:val="both"/>
        <w:rPr>
          <w:rFonts w:ascii="Times New Roman" w:hAnsi="Times New Roman" w:eastAsia="Times New Roman" w:cs="Times New Roman"/>
          <w:sz w:val="24"/>
          <w:szCs w:val="24"/>
          <w:lang w:eastAsia="pt-BR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pt-BR"/>
        </w:rPr>
      </w:r>
    </w:p>
    <w:p>
      <w:pPr>
        <w:pStyle w:val="Normal"/>
        <w:spacing w:lineRule="auto" w:line="360" w:beforeAutospacing="1" w:after="0"/>
        <w:jc w:val="both"/>
        <w:rPr>
          <w:rFonts w:ascii="Times New Roman" w:hAnsi="Times New Roman" w:eastAsia="Times New Roman" w:cs="Times New Roman"/>
          <w:sz w:val="24"/>
          <w:szCs w:val="24"/>
          <w:lang w:eastAsia="pt-BR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pt-BR"/>
        </w:rPr>
        <w:t>Durante a vigência do contrato a Administração adotará o Instrumento de Medição de Resultado – IMR de acordo com os parâmetros estabelecidos na IN SLTI/MPOG nº 05/2017. Este procedimento está vinculado ao contrato de prestação dos serviços contínuos de manutenção na Central e na Rede de Distribuição de Gases Medicinais do Hospital Militar de Resende, e deverá ser efetuado mensalmente, por meio da fiscalização/controle da execução dos serviços, pelo Fiscal de Contrato, de forma a servir como fator depreciativo para os cálculos dos valores a serem lançados nas faturas de prestação dos serviços executados, com base nas pontuações constantes no IMR.</w:t>
      </w:r>
    </w:p>
    <w:p>
      <w:pPr>
        <w:pStyle w:val="Normal"/>
        <w:spacing w:lineRule="auto" w:line="360" w:beforeAutospacing="1" w:after="0"/>
        <w:ind w:hanging="0" w:left="709"/>
        <w:jc w:val="both"/>
        <w:rPr>
          <w:rFonts w:ascii="Times New Roman" w:hAnsi="Times New Roman" w:eastAsia="Times New Roman" w:cs="Times New Roman"/>
          <w:sz w:val="24"/>
          <w:szCs w:val="24"/>
          <w:lang w:eastAsia="pt-BR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pt-BR"/>
        </w:rPr>
        <w:t xml:space="preserve">• </w:t>
      </w:r>
      <w:r>
        <w:rPr>
          <w:rFonts w:eastAsia="Times New Roman" w:cs="Times New Roman" w:ascii="Times New Roman" w:hAnsi="Times New Roman"/>
          <w:sz w:val="24"/>
          <w:szCs w:val="24"/>
          <w:lang w:eastAsia="pt-BR"/>
        </w:rPr>
        <w:t>Os objetivos deste IMR são: definir e padronizar a avaliação de desempenho e qualidade da Contratada na execução da prestação dos serviços de manutenção preventiva e corretiva de ar-condicionado</w:t>
      </w:r>
    </w:p>
    <w:p>
      <w:pPr>
        <w:pStyle w:val="Normal"/>
        <w:spacing w:lineRule="auto" w:line="360" w:beforeAutospacing="1" w:after="0"/>
        <w:jc w:val="both"/>
        <w:rPr>
          <w:rFonts w:ascii="Times New Roman" w:hAnsi="Times New Roman" w:eastAsia="Times New Roman" w:cs="Times New Roman"/>
          <w:sz w:val="24"/>
          <w:szCs w:val="24"/>
          <w:lang w:eastAsia="pt-BR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pt-BR"/>
        </w:rPr>
        <w:t>A avaliação corresponde à atribuição mensal dos conceitos “Adequado”, “Não Adequado” ou “Não aplicável para o mês de medição” para cada item avaliado e as respectivas justificativas, se necessário.</w:t>
      </w:r>
    </w:p>
    <w:p>
      <w:pPr>
        <w:pStyle w:val="Normal"/>
        <w:spacing w:lineRule="auto" w:line="360" w:beforeAutospacing="1" w:after="0"/>
        <w:jc w:val="both"/>
        <w:rPr>
          <w:rFonts w:ascii="Times New Roman" w:hAnsi="Times New Roman" w:eastAsia="Times New Roman" w:cs="Times New Roman"/>
          <w:sz w:val="24"/>
          <w:szCs w:val="24"/>
          <w:lang w:eastAsia="pt-BR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pt-BR"/>
        </w:rPr>
        <w:t>Para tanto, serão três indicadores distintos que serão avaliados, cada um com seu respectivo peso no cômputo geral, formando a pontuação final que será aplicada na faixa de tolerância:</w:t>
      </w:r>
    </w:p>
    <w:p>
      <w:pPr>
        <w:pStyle w:val="Normal"/>
        <w:spacing w:lineRule="auto" w:line="360" w:beforeAutospacing="1" w:after="0"/>
        <w:jc w:val="both"/>
        <w:rPr>
          <w:rFonts w:ascii="Times New Roman" w:hAnsi="Times New Roman" w:eastAsia="Times New Roman" w:cs="Times New Roman"/>
          <w:sz w:val="24"/>
          <w:szCs w:val="24"/>
          <w:lang w:eastAsia="pt-BR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pt-BR"/>
        </w:rPr>
      </w:r>
    </w:p>
    <w:tbl>
      <w:tblPr>
        <w:tblW w:w="9645" w:type="dxa"/>
        <w:jc w:val="left"/>
        <w:tblInd w:w="0" w:type="dxa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firstRow="1" w:noVBand="1" w:lastRow="0" w:firstColumn="1" w:lastColumn="0" w:noHBand="0" w:val="04a0"/>
      </w:tblPr>
      <w:tblGrid>
        <w:gridCol w:w="3123"/>
        <w:gridCol w:w="6521"/>
      </w:tblGrid>
      <w:tr>
        <w:trPr/>
        <w:tc>
          <w:tcPr>
            <w:tcW w:w="96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5EB91E" w:val="clear"/>
          </w:tcPr>
          <w:p>
            <w:pPr>
              <w:pStyle w:val="Normal"/>
              <w:widowControl w:val="false"/>
              <w:spacing w:lineRule="auto" w:line="276" w:beforeAutospacing="1" w:after="142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pt-BR"/>
              </w:rPr>
              <w:t>INSTRUMENTO DE MEDIÇÃO DE RESULTADO (IMR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pt-BR"/>
              </w:rPr>
              <w:t>)</w:t>
            </w:r>
          </w:p>
        </w:tc>
      </w:tr>
      <w:tr>
        <w:trPr/>
        <w:tc>
          <w:tcPr>
            <w:tcW w:w="9644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tcMar>
              <w:top w:w="0" w:type="dxa"/>
            </w:tcMar>
          </w:tcPr>
          <w:p>
            <w:pPr>
              <w:pStyle w:val="Normal"/>
              <w:widowControl w:val="false"/>
              <w:spacing w:lineRule="auto" w:line="276" w:beforeAutospacing="1" w:after="142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pt-BR"/>
              </w:rPr>
              <w:t>CONFORME ANEXO V-B da IN 05/2017 – SEGES/MPDG</w:t>
            </w:r>
          </w:p>
        </w:tc>
      </w:tr>
      <w:tr>
        <w:trPr/>
        <w:tc>
          <w:tcPr>
            <w:tcW w:w="9644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tcMar>
              <w:top w:w="0" w:type="dxa"/>
            </w:tcMar>
          </w:tcPr>
          <w:p>
            <w:pPr>
              <w:pStyle w:val="Normal"/>
              <w:widowControl w:val="false"/>
              <w:spacing w:lineRule="auto" w:line="276" w:beforeAutospacing="1" w:after="142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themeColor="text1" w:val="000000"/>
                <w:sz w:val="24"/>
                <w:szCs w:val="24"/>
              </w:rPr>
              <w:t>PROCESSO 65362.0</w:t>
            </w:r>
            <w:r>
              <w:rPr>
                <w:rFonts w:cs="Times New Roman" w:ascii="Times New Roman" w:hAnsi="Times New Roman"/>
                <w:color w:themeColor="text1" w:val="000000"/>
                <w:sz w:val="24"/>
                <w:szCs w:val="24"/>
              </w:rPr>
              <w:t>10544</w:t>
            </w:r>
            <w:r>
              <w:rPr>
                <w:rFonts w:cs="Times New Roman" w:ascii="Times New Roman" w:hAnsi="Times New Roman"/>
                <w:color w:themeColor="text1" w:val="000000"/>
                <w:sz w:val="24"/>
                <w:szCs w:val="24"/>
              </w:rPr>
              <w:t>/202</w:t>
            </w:r>
            <w:r>
              <w:rPr>
                <w:rFonts w:cs="Times New Roman" w:ascii="Times New Roman" w:hAnsi="Times New Roman"/>
                <w:color w:themeColor="text1" w:val="000000"/>
                <w:sz w:val="24"/>
                <w:szCs w:val="24"/>
              </w:rPr>
              <w:t>5</w:t>
            </w:r>
            <w:r>
              <w:rPr>
                <w:rFonts w:cs="Times New Roman" w:ascii="Times New Roman" w:hAnsi="Times New Roman"/>
                <w:color w:themeColor="text1" w:val="000000"/>
                <w:sz w:val="24"/>
                <w:szCs w:val="24"/>
              </w:rPr>
              <w:t>-</w:t>
            </w:r>
            <w:r>
              <w:rPr>
                <w:rFonts w:cs="Times New Roman" w:ascii="Times New Roman" w:hAnsi="Times New Roman"/>
                <w:color w:themeColor="text1" w:val="000000"/>
                <w:sz w:val="24"/>
                <w:szCs w:val="24"/>
              </w:rPr>
              <w:t>82</w:t>
            </w:r>
            <w:r>
              <w:rPr>
                <w:rFonts w:cs="Times New Roman" w:ascii="Times New Roman" w:hAnsi="Times New Roman"/>
                <w:color w:themeColor="text1" w:val="000000"/>
                <w:sz w:val="24"/>
                <w:szCs w:val="24"/>
              </w:rPr>
              <w:t xml:space="preserve"> – </w:t>
            </w:r>
            <w:r>
              <w:rPr>
                <w:rFonts w:cs="Times New Roman" w:ascii="Times New Roman" w:hAnsi="Times New Roman"/>
                <w:color w:themeColor="text1" w:val="000000"/>
                <w:sz w:val="24"/>
                <w:szCs w:val="24"/>
              </w:rPr>
              <w:t>MANUTENÇÃO REDE DE GASES</w:t>
            </w:r>
          </w:p>
        </w:tc>
      </w:tr>
      <w:tr>
        <w:trPr/>
        <w:tc>
          <w:tcPr>
            <w:tcW w:w="9644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5EB91E" w:val="clear"/>
            <w:tcMar>
              <w:top w:w="0" w:type="dxa"/>
            </w:tcMar>
          </w:tcPr>
          <w:p>
            <w:pPr>
              <w:pStyle w:val="Normal"/>
              <w:widowControl w:val="false"/>
              <w:spacing w:lineRule="auto" w:line="276" w:beforeAutospacing="1" w:after="142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pt-BR"/>
              </w:rPr>
              <w:t>INDICADORES</w:t>
            </w:r>
          </w:p>
        </w:tc>
      </w:tr>
      <w:tr>
        <w:trPr/>
        <w:tc>
          <w:tcPr>
            <w:tcW w:w="3123" w:type="dxa"/>
            <w:tcBorders>
              <w:left w:val="single" w:sz="6" w:space="0" w:color="000000"/>
              <w:bottom w:val="single" w:sz="6" w:space="0" w:color="000000"/>
            </w:tcBorders>
            <w:shd w:color="auto" w:fill="5EB91E" w:val="clear"/>
            <w:tcMar>
              <w:top w:w="0" w:type="dxa"/>
              <w:right w:w="0" w:type="dxa"/>
            </w:tcMar>
          </w:tcPr>
          <w:p>
            <w:pPr>
              <w:pStyle w:val="Normal"/>
              <w:widowControl w:val="false"/>
              <w:spacing w:lineRule="auto" w:line="276" w:beforeAutospacing="1" w:after="142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pt-BR"/>
              </w:rPr>
              <w:t>1</w:t>
            </w:r>
          </w:p>
        </w:tc>
        <w:tc>
          <w:tcPr>
            <w:tcW w:w="652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tcMar>
              <w:top w:w="0" w:type="dxa"/>
            </w:tcMar>
          </w:tcPr>
          <w:p>
            <w:pPr>
              <w:pStyle w:val="Normal"/>
              <w:widowControl w:val="false"/>
              <w:spacing w:lineRule="auto" w:line="276" w:beforeAutospacing="1" w:after="142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pt-BR"/>
              </w:rPr>
              <w:t>MATERIAIS E EQUIPAMENTOS</w:t>
            </w:r>
          </w:p>
        </w:tc>
      </w:tr>
      <w:tr>
        <w:trPr/>
        <w:tc>
          <w:tcPr>
            <w:tcW w:w="3123" w:type="dxa"/>
            <w:tcBorders>
              <w:left w:val="single" w:sz="6" w:space="0" w:color="000000"/>
              <w:bottom w:val="single" w:sz="6" w:space="0" w:color="000000"/>
            </w:tcBorders>
            <w:shd w:color="auto" w:fill="5EB91E" w:val="clear"/>
            <w:tcMar>
              <w:top w:w="0" w:type="dxa"/>
              <w:right w:w="0" w:type="dxa"/>
            </w:tcMar>
          </w:tcPr>
          <w:p>
            <w:pPr>
              <w:pStyle w:val="Normal"/>
              <w:widowControl w:val="false"/>
              <w:spacing w:lineRule="auto" w:line="276" w:beforeAutospacing="1" w:after="142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pt-BR"/>
              </w:rPr>
              <w:t>2</w:t>
            </w:r>
          </w:p>
        </w:tc>
        <w:tc>
          <w:tcPr>
            <w:tcW w:w="652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tcMar>
              <w:top w:w="0" w:type="dxa"/>
            </w:tcMar>
          </w:tcPr>
          <w:p>
            <w:pPr>
              <w:pStyle w:val="Normal"/>
              <w:widowControl w:val="false"/>
              <w:spacing w:lineRule="auto" w:line="276" w:beforeAutospacing="1" w:after="142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pt-BR"/>
              </w:rPr>
              <w:t>FUNCIONÁRIOS</w:t>
            </w:r>
          </w:p>
        </w:tc>
      </w:tr>
      <w:tr>
        <w:trPr/>
        <w:tc>
          <w:tcPr>
            <w:tcW w:w="3123" w:type="dxa"/>
            <w:tcBorders>
              <w:left w:val="single" w:sz="6" w:space="0" w:color="000000"/>
              <w:bottom w:val="single" w:sz="6" w:space="0" w:color="000000"/>
            </w:tcBorders>
            <w:shd w:color="auto" w:fill="5EB91E" w:val="clear"/>
            <w:tcMar>
              <w:top w:w="0" w:type="dxa"/>
              <w:right w:w="0" w:type="dxa"/>
            </w:tcMar>
          </w:tcPr>
          <w:p>
            <w:pPr>
              <w:pStyle w:val="Normal"/>
              <w:widowControl w:val="false"/>
              <w:spacing w:lineRule="auto" w:line="276" w:beforeAutospacing="1" w:after="142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pt-BR"/>
              </w:rPr>
              <w:t>3</w:t>
            </w:r>
          </w:p>
        </w:tc>
        <w:tc>
          <w:tcPr>
            <w:tcW w:w="652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tcMar>
              <w:top w:w="0" w:type="dxa"/>
            </w:tcMar>
          </w:tcPr>
          <w:p>
            <w:pPr>
              <w:pStyle w:val="Normal"/>
              <w:widowControl w:val="false"/>
              <w:spacing w:lineRule="auto" w:line="276" w:beforeAutospacing="1" w:after="142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pt-BR"/>
              </w:rPr>
              <w:t>EXECUÇÃO DOS SERVIÇOS</w:t>
            </w:r>
          </w:p>
        </w:tc>
      </w:tr>
    </w:tbl>
    <w:p>
      <w:pPr>
        <w:pStyle w:val="Normal"/>
        <w:spacing w:lineRule="auto" w:line="360" w:beforeAutospacing="1" w:after="0"/>
        <w:jc w:val="both"/>
        <w:rPr>
          <w:rFonts w:ascii="Times New Roman" w:hAnsi="Times New Roman" w:eastAsia="Times New Roman" w:cs="Times New Roman"/>
          <w:sz w:val="24"/>
          <w:szCs w:val="24"/>
          <w:lang w:eastAsia="pt-BR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pt-BR"/>
        </w:rPr>
      </w:r>
    </w:p>
    <w:tbl>
      <w:tblPr>
        <w:tblW w:w="9645" w:type="dxa"/>
        <w:jc w:val="left"/>
        <w:tblInd w:w="0" w:type="dxa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firstRow="1" w:noVBand="1" w:lastRow="0" w:firstColumn="1" w:lastColumn="0" w:noHBand="0" w:val="04a0"/>
      </w:tblPr>
      <w:tblGrid>
        <w:gridCol w:w="3124"/>
        <w:gridCol w:w="4324"/>
        <w:gridCol w:w="2197"/>
      </w:tblGrid>
      <w:tr>
        <w:trPr/>
        <w:tc>
          <w:tcPr>
            <w:tcW w:w="96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5EB91E" w:val="clear"/>
          </w:tcPr>
          <w:p>
            <w:pPr>
              <w:pStyle w:val="Normal"/>
              <w:widowControl w:val="false"/>
              <w:spacing w:lineRule="auto" w:line="276" w:beforeAutospacing="1" w:after="142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pt-BR"/>
              </w:rPr>
              <w:t>INDICADOR Nº 01 – MATERIAIS E EQUIPAMENTOS</w:t>
            </w:r>
          </w:p>
        </w:tc>
      </w:tr>
      <w:tr>
        <w:trPr/>
        <w:tc>
          <w:tcPr>
            <w:tcW w:w="3124" w:type="dxa"/>
            <w:tcBorders>
              <w:left w:val="single" w:sz="6" w:space="0" w:color="000000"/>
              <w:bottom w:val="single" w:sz="6" w:space="0" w:color="000000"/>
            </w:tcBorders>
            <w:shd w:fill="auto" w:val="clear"/>
            <w:tcMar>
              <w:top w:w="0" w:type="dxa"/>
              <w:right w:w="0" w:type="dxa"/>
            </w:tcMar>
          </w:tcPr>
          <w:p>
            <w:pPr>
              <w:pStyle w:val="Normal"/>
              <w:widowControl w:val="false"/>
              <w:spacing w:lineRule="auto" w:line="276" w:beforeAutospacing="1" w:after="142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pt-BR"/>
              </w:rPr>
              <w:t>Finalidade</w:t>
            </w:r>
          </w:p>
        </w:tc>
        <w:tc>
          <w:tcPr>
            <w:tcW w:w="6521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tcMar>
              <w:top w:w="0" w:type="dxa"/>
            </w:tcMar>
          </w:tcPr>
          <w:p>
            <w:pPr>
              <w:pStyle w:val="Normal"/>
              <w:widowControl w:val="false"/>
              <w:spacing w:lineRule="auto" w:line="276" w:beforeAutospacing="1" w:after="142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pt-BR"/>
              </w:rPr>
              <w:t>Garantir a quantidade e qualidade dos materiais e equipamentos necessários à plena execução dos serviços de manutenção.</w:t>
            </w:r>
          </w:p>
        </w:tc>
      </w:tr>
      <w:tr>
        <w:trPr/>
        <w:tc>
          <w:tcPr>
            <w:tcW w:w="3124" w:type="dxa"/>
            <w:tcBorders>
              <w:left w:val="single" w:sz="6" w:space="0" w:color="000000"/>
              <w:bottom w:val="single" w:sz="6" w:space="0" w:color="000000"/>
            </w:tcBorders>
            <w:shd w:fill="auto" w:val="clear"/>
            <w:tcMar>
              <w:top w:w="0" w:type="dxa"/>
              <w:right w:w="0" w:type="dxa"/>
            </w:tcMar>
          </w:tcPr>
          <w:p>
            <w:pPr>
              <w:pStyle w:val="Normal"/>
              <w:widowControl w:val="false"/>
              <w:spacing w:lineRule="auto" w:line="276" w:beforeAutospacing="1" w:after="142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pt-BR"/>
              </w:rPr>
              <w:t>Meta a Cumprir</w:t>
            </w:r>
          </w:p>
        </w:tc>
        <w:tc>
          <w:tcPr>
            <w:tcW w:w="6521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tcMar>
              <w:top w:w="0" w:type="dxa"/>
            </w:tcMar>
          </w:tcPr>
          <w:p>
            <w:pPr>
              <w:pStyle w:val="Normal"/>
              <w:widowControl w:val="false"/>
              <w:spacing w:lineRule="auto" w:line="276" w:beforeAutospacing="1" w:after="142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pt-BR"/>
              </w:rPr>
              <w:t>100% dos materiais e equipamentos necessários à prestação dos serviços de manutenção.</w:t>
            </w:r>
          </w:p>
        </w:tc>
      </w:tr>
      <w:tr>
        <w:trPr/>
        <w:tc>
          <w:tcPr>
            <w:tcW w:w="3124" w:type="dxa"/>
            <w:tcBorders>
              <w:left w:val="single" w:sz="6" w:space="0" w:color="000000"/>
              <w:bottom w:val="single" w:sz="6" w:space="0" w:color="000000"/>
            </w:tcBorders>
            <w:shd w:fill="auto" w:val="clear"/>
            <w:tcMar>
              <w:top w:w="0" w:type="dxa"/>
              <w:right w:w="0" w:type="dxa"/>
            </w:tcMar>
          </w:tcPr>
          <w:p>
            <w:pPr>
              <w:pStyle w:val="Normal"/>
              <w:widowControl w:val="false"/>
              <w:spacing w:lineRule="auto" w:line="276" w:beforeAutospacing="1" w:after="142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pt-BR"/>
              </w:rPr>
              <w:t>Instrumento de Medição</w:t>
            </w:r>
          </w:p>
        </w:tc>
        <w:tc>
          <w:tcPr>
            <w:tcW w:w="6521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tcMar>
              <w:top w:w="0" w:type="dxa"/>
            </w:tcMar>
          </w:tcPr>
          <w:p>
            <w:pPr>
              <w:pStyle w:val="Normal"/>
              <w:widowControl w:val="false"/>
              <w:spacing w:lineRule="auto" w:line="276" w:beforeAutospacing="1" w:after="142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pt-BR"/>
              </w:rPr>
              <w:t>Conferência local.</w:t>
            </w:r>
          </w:p>
        </w:tc>
      </w:tr>
      <w:tr>
        <w:trPr/>
        <w:tc>
          <w:tcPr>
            <w:tcW w:w="3124" w:type="dxa"/>
            <w:tcBorders>
              <w:left w:val="single" w:sz="6" w:space="0" w:color="000000"/>
              <w:bottom w:val="single" w:sz="6" w:space="0" w:color="000000"/>
            </w:tcBorders>
            <w:shd w:fill="auto" w:val="clear"/>
            <w:tcMar>
              <w:top w:w="0" w:type="dxa"/>
              <w:right w:w="0" w:type="dxa"/>
            </w:tcMar>
          </w:tcPr>
          <w:p>
            <w:pPr>
              <w:pStyle w:val="Normal"/>
              <w:widowControl w:val="false"/>
              <w:spacing w:lineRule="auto" w:line="276" w:beforeAutospacing="1" w:after="142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pt-BR"/>
              </w:rPr>
              <w:t>Forma de Acompanhamento</w:t>
            </w:r>
          </w:p>
        </w:tc>
        <w:tc>
          <w:tcPr>
            <w:tcW w:w="6521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tcMar>
              <w:top w:w="0" w:type="dxa"/>
            </w:tcMar>
          </w:tcPr>
          <w:p>
            <w:pPr>
              <w:pStyle w:val="Normal"/>
              <w:widowControl w:val="false"/>
              <w:spacing w:lineRule="auto" w:line="276" w:beforeAutospacing="1" w:after="142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pt-BR"/>
              </w:rPr>
              <w:t>Visual, pelo fiscal do contrato.</w:t>
            </w:r>
          </w:p>
        </w:tc>
      </w:tr>
      <w:tr>
        <w:trPr/>
        <w:tc>
          <w:tcPr>
            <w:tcW w:w="3124" w:type="dxa"/>
            <w:tcBorders>
              <w:left w:val="single" w:sz="6" w:space="0" w:color="000000"/>
              <w:bottom w:val="single" w:sz="6" w:space="0" w:color="000000"/>
            </w:tcBorders>
            <w:shd w:fill="auto" w:val="clear"/>
            <w:tcMar>
              <w:top w:w="0" w:type="dxa"/>
              <w:right w:w="0" w:type="dxa"/>
            </w:tcMar>
          </w:tcPr>
          <w:p>
            <w:pPr>
              <w:pStyle w:val="Normal"/>
              <w:widowControl w:val="false"/>
              <w:spacing w:lineRule="auto" w:line="276" w:beforeAutospacing="1" w:after="142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pt-BR"/>
              </w:rPr>
              <w:t>Periodicidade</w:t>
            </w:r>
          </w:p>
        </w:tc>
        <w:tc>
          <w:tcPr>
            <w:tcW w:w="6521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tcMar>
              <w:top w:w="0" w:type="dxa"/>
            </w:tcMar>
          </w:tcPr>
          <w:p>
            <w:pPr>
              <w:pStyle w:val="Normal"/>
              <w:widowControl w:val="false"/>
              <w:spacing w:lineRule="auto" w:line="276" w:beforeAutospacing="1" w:after="142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pt-BR"/>
              </w:rPr>
              <w:t xml:space="preserve">Conforme atividades de manutenção previstas em manual do equipamento e no Contrato (plano de manutenção). </w:t>
            </w:r>
          </w:p>
        </w:tc>
      </w:tr>
      <w:tr>
        <w:trPr/>
        <w:tc>
          <w:tcPr>
            <w:tcW w:w="3124" w:type="dxa"/>
            <w:tcBorders>
              <w:left w:val="single" w:sz="6" w:space="0" w:color="000000"/>
              <w:bottom w:val="single" w:sz="6" w:space="0" w:color="000000"/>
            </w:tcBorders>
            <w:shd w:fill="auto" w:val="clear"/>
            <w:tcMar>
              <w:top w:w="0" w:type="dxa"/>
              <w:right w:w="0" w:type="dxa"/>
            </w:tcMar>
          </w:tcPr>
          <w:p>
            <w:pPr>
              <w:pStyle w:val="Normal"/>
              <w:widowControl w:val="false"/>
              <w:spacing w:lineRule="auto" w:line="276" w:beforeAutospacing="1" w:after="142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pt-BR"/>
              </w:rPr>
              <w:t>Mecanismo de Cálculo</w:t>
            </w:r>
          </w:p>
        </w:tc>
        <w:tc>
          <w:tcPr>
            <w:tcW w:w="6521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tcMar>
              <w:top w:w="0" w:type="dxa"/>
            </w:tcMar>
          </w:tcPr>
          <w:p>
            <w:pPr>
              <w:pStyle w:val="Normal"/>
              <w:widowControl w:val="false"/>
              <w:spacing w:lineRule="auto" w:line="276" w:beforeAutospacing="1" w:after="142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pt-BR"/>
              </w:rPr>
              <w:t>Será aplicada a pontuação atribuída para cada ocorrência verificada.</w:t>
            </w:r>
          </w:p>
        </w:tc>
      </w:tr>
      <w:tr>
        <w:trPr/>
        <w:tc>
          <w:tcPr>
            <w:tcW w:w="3124" w:type="dxa"/>
            <w:tcBorders>
              <w:left w:val="single" w:sz="6" w:space="0" w:color="000000"/>
              <w:bottom w:val="single" w:sz="6" w:space="0" w:color="000000"/>
            </w:tcBorders>
            <w:shd w:fill="auto" w:val="clear"/>
            <w:tcMar>
              <w:top w:w="0" w:type="dxa"/>
              <w:right w:w="0" w:type="dxa"/>
            </w:tcMar>
          </w:tcPr>
          <w:p>
            <w:pPr>
              <w:pStyle w:val="Normal"/>
              <w:widowControl w:val="false"/>
              <w:spacing w:lineRule="auto" w:line="276" w:beforeAutospacing="1" w:after="142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pt-BR"/>
              </w:rPr>
              <w:t>Início da Vigência</w:t>
            </w:r>
          </w:p>
        </w:tc>
        <w:tc>
          <w:tcPr>
            <w:tcW w:w="6521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tcMar>
              <w:top w:w="0" w:type="dxa"/>
            </w:tcMar>
          </w:tcPr>
          <w:p>
            <w:pPr>
              <w:pStyle w:val="Normal"/>
              <w:widowControl w:val="false"/>
              <w:spacing w:lineRule="auto" w:line="276" w:beforeAutospacing="1" w:after="142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pt-BR"/>
              </w:rPr>
              <w:t>Conforme definido no Termo de Contrato</w:t>
            </w:r>
          </w:p>
        </w:tc>
      </w:tr>
      <w:tr>
        <w:trPr/>
        <w:tc>
          <w:tcPr>
            <w:tcW w:w="3124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fill="auto" w:val="clear"/>
            <w:tcMar>
              <w:top w:w="0" w:type="dxa"/>
              <w:right w:w="0" w:type="dxa"/>
            </w:tcMar>
          </w:tcPr>
          <w:p>
            <w:pPr>
              <w:pStyle w:val="Normal"/>
              <w:widowControl w:val="false"/>
              <w:spacing w:lineRule="auto" w:line="276" w:beforeAutospacing="1" w:after="142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pt-BR"/>
              </w:rPr>
            </w:r>
          </w:p>
          <w:p>
            <w:pPr>
              <w:pStyle w:val="Normal"/>
              <w:widowControl w:val="false"/>
              <w:spacing w:lineRule="auto" w:line="276" w:beforeAutospacing="1" w:after="142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pt-BR"/>
              </w:rPr>
            </w:r>
          </w:p>
          <w:p>
            <w:pPr>
              <w:pStyle w:val="Normal"/>
              <w:widowControl w:val="false"/>
              <w:spacing w:lineRule="auto" w:line="276" w:beforeAutospacing="1" w:after="142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pt-BR"/>
              </w:rPr>
            </w:r>
          </w:p>
          <w:p>
            <w:pPr>
              <w:pStyle w:val="Normal"/>
              <w:widowControl w:val="false"/>
              <w:spacing w:lineRule="auto" w:line="276" w:beforeAutospacing="1" w:after="142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pt-BR"/>
              </w:rPr>
            </w:r>
          </w:p>
          <w:p>
            <w:pPr>
              <w:pStyle w:val="Normal"/>
              <w:widowControl w:val="false"/>
              <w:spacing w:lineRule="auto" w:line="276" w:beforeAutospacing="1" w:after="142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pt-BR"/>
              </w:rPr>
            </w:r>
          </w:p>
          <w:p>
            <w:pPr>
              <w:pStyle w:val="Normal"/>
              <w:widowControl w:val="false"/>
              <w:spacing w:lineRule="auto" w:line="276" w:beforeAutospacing="1" w:after="142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pt-BR"/>
              </w:rPr>
            </w:r>
          </w:p>
          <w:p>
            <w:pPr>
              <w:pStyle w:val="Normal"/>
              <w:widowControl w:val="false"/>
              <w:spacing w:lineRule="auto" w:line="276" w:beforeAutospacing="1" w:after="142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pt-BR"/>
              </w:rPr>
            </w:r>
          </w:p>
          <w:p>
            <w:pPr>
              <w:pStyle w:val="Normal"/>
              <w:widowControl w:val="false"/>
              <w:spacing w:lineRule="auto" w:line="276" w:beforeAutospacing="1" w:after="142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pt-BR"/>
              </w:rPr>
            </w:r>
          </w:p>
          <w:p>
            <w:pPr>
              <w:pStyle w:val="Normal"/>
              <w:widowControl w:val="false"/>
              <w:spacing w:lineRule="auto" w:line="276" w:beforeAutospacing="1" w:after="142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pt-BR"/>
              </w:rPr>
              <w:t>Ocorrências / Pontuação</w:t>
            </w:r>
          </w:p>
        </w:tc>
        <w:tc>
          <w:tcPr>
            <w:tcW w:w="4324" w:type="dxa"/>
            <w:tcBorders>
              <w:left w:val="single" w:sz="6" w:space="0" w:color="000000"/>
              <w:bottom w:val="single" w:sz="6" w:space="0" w:color="000000"/>
            </w:tcBorders>
            <w:shd w:fill="auto" w:val="clear"/>
            <w:tcMar>
              <w:top w:w="0" w:type="dxa"/>
              <w:right w:w="0" w:type="dxa"/>
            </w:tcMar>
          </w:tcPr>
          <w:p>
            <w:pPr>
              <w:pStyle w:val="Normal"/>
              <w:widowControl w:val="false"/>
              <w:spacing w:lineRule="auto" w:line="276" w:beforeAutospacing="1" w:after="142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pt-BR"/>
              </w:rPr>
              <w:t>Atraso no fornecimento dos materiais e equipamentos, conforme condições previstas no Edital e no Termo de Contrato, necessários à execução dos serviços de manutenção no início da execução do serviço.</w:t>
            </w:r>
          </w:p>
        </w:tc>
        <w:tc>
          <w:tcPr>
            <w:tcW w:w="219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tcMar>
              <w:top w:w="0" w:type="dxa"/>
            </w:tcMar>
          </w:tcPr>
          <w:p>
            <w:pPr>
              <w:pStyle w:val="Normal"/>
              <w:widowControl w:val="false"/>
              <w:spacing w:lineRule="auto" w:line="276" w:beforeAutospacing="1" w:after="142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pt-BR"/>
              </w:rPr>
              <w:t>1,0 ponto por dia</w:t>
            </w:r>
          </w:p>
        </w:tc>
      </w:tr>
      <w:tr>
        <w:trPr/>
        <w:tc>
          <w:tcPr>
            <w:tcW w:w="3124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fill="auto" w:val="clear"/>
            <w:tcMar>
              <w:top w:w="60" w:type="dxa"/>
              <w:left w:w="60" w:type="dxa"/>
              <w:bottom w:w="60" w:type="dxa"/>
              <w:right w:w="6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pt-BR"/>
              </w:rPr>
            </w:r>
          </w:p>
        </w:tc>
        <w:tc>
          <w:tcPr>
            <w:tcW w:w="4324" w:type="dxa"/>
            <w:tcBorders>
              <w:left w:val="single" w:sz="6" w:space="0" w:color="000000"/>
              <w:bottom w:val="single" w:sz="6" w:space="0" w:color="000000"/>
            </w:tcBorders>
            <w:shd w:fill="auto" w:val="clear"/>
            <w:tcMar>
              <w:top w:w="0" w:type="dxa"/>
              <w:right w:w="0" w:type="dxa"/>
            </w:tcMar>
          </w:tcPr>
          <w:p>
            <w:pPr>
              <w:pStyle w:val="Normal"/>
              <w:widowControl w:val="false"/>
              <w:spacing w:lineRule="auto" w:line="276" w:beforeAutospacing="1" w:after="142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pt-BR"/>
              </w:rPr>
              <w:t>Atraso no fornecimento mensal, trimestral e anual dos materiais necessários à execução dos serviços de manutenção, conforme condições previstas em Edital e Termo de Contrato.</w:t>
            </w:r>
          </w:p>
        </w:tc>
        <w:tc>
          <w:tcPr>
            <w:tcW w:w="219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tcMar>
              <w:top w:w="0" w:type="dxa"/>
            </w:tcMar>
          </w:tcPr>
          <w:p>
            <w:pPr>
              <w:pStyle w:val="Normal"/>
              <w:widowControl w:val="false"/>
              <w:spacing w:lineRule="auto" w:line="276" w:beforeAutospacing="1" w:after="142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pt-BR"/>
              </w:rPr>
              <w:t>0,5 ponto por dia</w:t>
            </w:r>
          </w:p>
        </w:tc>
      </w:tr>
      <w:tr>
        <w:trPr/>
        <w:tc>
          <w:tcPr>
            <w:tcW w:w="3124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fill="auto" w:val="clear"/>
            <w:tcMar>
              <w:top w:w="60" w:type="dxa"/>
              <w:left w:w="60" w:type="dxa"/>
              <w:bottom w:w="60" w:type="dxa"/>
              <w:right w:w="6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pt-BR"/>
              </w:rPr>
            </w:r>
          </w:p>
        </w:tc>
        <w:tc>
          <w:tcPr>
            <w:tcW w:w="4324" w:type="dxa"/>
            <w:tcBorders>
              <w:left w:val="single" w:sz="6" w:space="0" w:color="000000"/>
              <w:bottom w:val="single" w:sz="6" w:space="0" w:color="000000"/>
            </w:tcBorders>
            <w:shd w:fill="auto" w:val="clear"/>
            <w:tcMar>
              <w:top w:w="0" w:type="dxa"/>
              <w:right w:w="0" w:type="dxa"/>
            </w:tcMar>
          </w:tcPr>
          <w:p>
            <w:pPr>
              <w:pStyle w:val="Normal"/>
              <w:widowControl w:val="false"/>
              <w:spacing w:lineRule="auto" w:line="276" w:beforeAutospacing="1" w:after="142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pt-BR"/>
              </w:rPr>
              <w:t>Atraso na substituição dos equipamentos que tenham sido danificados durante seu uso.</w:t>
            </w:r>
          </w:p>
        </w:tc>
        <w:tc>
          <w:tcPr>
            <w:tcW w:w="219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tcMar>
              <w:top w:w="0" w:type="dxa"/>
            </w:tcMar>
          </w:tcPr>
          <w:p>
            <w:pPr>
              <w:pStyle w:val="Normal"/>
              <w:widowControl w:val="false"/>
              <w:spacing w:lineRule="auto" w:line="276" w:beforeAutospacing="1" w:after="142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pt-BR"/>
              </w:rPr>
              <w:t>0,5 pontos por dia</w:t>
            </w:r>
          </w:p>
        </w:tc>
      </w:tr>
      <w:tr>
        <w:trPr/>
        <w:tc>
          <w:tcPr>
            <w:tcW w:w="3124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fill="auto" w:val="clear"/>
            <w:tcMar>
              <w:top w:w="60" w:type="dxa"/>
              <w:left w:w="60" w:type="dxa"/>
              <w:bottom w:w="60" w:type="dxa"/>
              <w:right w:w="6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pt-BR"/>
              </w:rPr>
            </w:r>
          </w:p>
        </w:tc>
        <w:tc>
          <w:tcPr>
            <w:tcW w:w="4324" w:type="dxa"/>
            <w:tcBorders>
              <w:left w:val="single" w:sz="6" w:space="0" w:color="000000"/>
              <w:bottom w:val="single" w:sz="6" w:space="0" w:color="000000"/>
            </w:tcBorders>
            <w:shd w:fill="auto" w:val="clear"/>
            <w:tcMar>
              <w:top w:w="0" w:type="dxa"/>
              <w:right w:w="0" w:type="dxa"/>
            </w:tcMar>
          </w:tcPr>
          <w:p>
            <w:pPr>
              <w:pStyle w:val="Normal"/>
              <w:widowControl w:val="false"/>
              <w:spacing w:lineRule="auto" w:line="276" w:beforeAutospacing="1" w:after="142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pt-BR"/>
              </w:rPr>
              <w:t>Não substituição de materiais em desconformidade com a qualidade especificada no Termo de Referência</w:t>
            </w:r>
          </w:p>
        </w:tc>
        <w:tc>
          <w:tcPr>
            <w:tcW w:w="219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tcMar>
              <w:top w:w="0" w:type="dxa"/>
            </w:tcMar>
          </w:tcPr>
          <w:p>
            <w:pPr>
              <w:pStyle w:val="Normal"/>
              <w:widowControl w:val="false"/>
              <w:spacing w:lineRule="auto" w:line="276" w:beforeAutospacing="1" w:after="142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pt-BR"/>
              </w:rPr>
              <w:t>0,5 ponto por dia</w:t>
            </w:r>
          </w:p>
        </w:tc>
      </w:tr>
      <w:tr>
        <w:trPr/>
        <w:tc>
          <w:tcPr>
            <w:tcW w:w="3124" w:type="dxa"/>
            <w:tcBorders>
              <w:left w:val="single" w:sz="6" w:space="0" w:color="000000"/>
              <w:bottom w:val="single" w:sz="6" w:space="0" w:color="000000"/>
            </w:tcBorders>
            <w:shd w:fill="auto" w:val="clear"/>
            <w:tcMar>
              <w:top w:w="0" w:type="dxa"/>
              <w:right w:w="0" w:type="dxa"/>
            </w:tcMar>
          </w:tcPr>
          <w:p>
            <w:pPr>
              <w:pStyle w:val="Normal"/>
              <w:widowControl w:val="false"/>
              <w:spacing w:lineRule="auto" w:line="276" w:beforeAutospacing="1" w:after="142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pt-BR"/>
              </w:rPr>
              <w:t>Faixas de ajustes no pagamento</w:t>
            </w:r>
          </w:p>
        </w:tc>
        <w:tc>
          <w:tcPr>
            <w:tcW w:w="6521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tcMar>
              <w:top w:w="0" w:type="dxa"/>
            </w:tcMar>
          </w:tcPr>
          <w:p>
            <w:pPr>
              <w:pStyle w:val="Normal"/>
              <w:widowControl w:val="false"/>
              <w:spacing w:lineRule="auto" w:line="276" w:beforeAutospacing="1" w:after="142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pt-BR"/>
              </w:rPr>
              <w:t>Serão registradas as ocorrências constatadas e o somatório dos pontos acumulados, pelo fiscal do contrato, e efetuado o desconto no pagamento, conforme tabela de Descontos.</w:t>
            </w:r>
          </w:p>
        </w:tc>
      </w:tr>
      <w:tr>
        <w:trPr/>
        <w:tc>
          <w:tcPr>
            <w:tcW w:w="3124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fill="auto" w:val="clear"/>
            <w:tcMar>
              <w:top w:w="0" w:type="dxa"/>
              <w:right w:w="0" w:type="dxa"/>
            </w:tcMar>
          </w:tcPr>
          <w:p>
            <w:pPr>
              <w:pStyle w:val="Normal"/>
              <w:widowControl w:val="false"/>
              <w:spacing w:lineRule="auto" w:line="276" w:beforeAutospacing="1" w:after="142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pt-BR"/>
              </w:rPr>
              <w:t>Observações</w:t>
            </w:r>
          </w:p>
        </w:tc>
        <w:tc>
          <w:tcPr>
            <w:tcW w:w="6521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tcMar>
              <w:top w:w="0" w:type="dxa"/>
            </w:tcMar>
          </w:tcPr>
          <w:p>
            <w:pPr>
              <w:pStyle w:val="Normal"/>
              <w:widowControl w:val="false"/>
              <w:spacing w:lineRule="auto" w:line="276" w:beforeAutospacing="1" w:after="142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pt-BR"/>
              </w:rPr>
              <w:t>Os pontos acumulados em cada indicador são cumulativos aos pontos dos demais indicadores.</w:t>
            </w:r>
          </w:p>
        </w:tc>
      </w:tr>
      <w:tr>
        <w:trPr/>
        <w:tc>
          <w:tcPr>
            <w:tcW w:w="3124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fill="auto" w:val="clear"/>
            <w:tcMar>
              <w:top w:w="60" w:type="dxa"/>
              <w:left w:w="60" w:type="dxa"/>
              <w:bottom w:w="60" w:type="dxa"/>
              <w:right w:w="6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pt-BR"/>
              </w:rPr>
            </w:r>
          </w:p>
        </w:tc>
        <w:tc>
          <w:tcPr>
            <w:tcW w:w="6521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tcMar>
              <w:top w:w="0" w:type="dxa"/>
            </w:tcMar>
          </w:tcPr>
          <w:p>
            <w:pPr>
              <w:pStyle w:val="Normal"/>
              <w:widowControl w:val="false"/>
              <w:spacing w:lineRule="auto" w:line="276" w:beforeAutospacing="1" w:after="142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pt-BR"/>
              </w:rPr>
              <w:t>O acúmulo de pontos é mensal, sendo aplicado o desconto relativo às ocorrências do mês de prestação de serviços.</w:t>
            </w:r>
          </w:p>
        </w:tc>
      </w:tr>
      <w:tr>
        <w:trPr/>
        <w:tc>
          <w:tcPr>
            <w:tcW w:w="3124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fill="auto" w:val="clear"/>
            <w:tcMar>
              <w:top w:w="60" w:type="dxa"/>
              <w:left w:w="60" w:type="dxa"/>
              <w:bottom w:w="60" w:type="dxa"/>
              <w:right w:w="6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pt-BR"/>
              </w:rPr>
            </w:r>
          </w:p>
        </w:tc>
        <w:tc>
          <w:tcPr>
            <w:tcW w:w="6521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tcMar>
              <w:top w:w="0" w:type="dxa"/>
            </w:tcMar>
          </w:tcPr>
          <w:p>
            <w:pPr>
              <w:pStyle w:val="Normal"/>
              <w:widowControl w:val="false"/>
              <w:spacing w:lineRule="auto" w:line="276" w:beforeAutospacing="1" w:after="142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pt-BR"/>
              </w:rPr>
              <w:t>A pontuação será zerada para o mês seguinte</w:t>
            </w:r>
          </w:p>
        </w:tc>
      </w:tr>
    </w:tbl>
    <w:p>
      <w:pPr>
        <w:pStyle w:val="Normal"/>
        <w:spacing w:lineRule="auto" w:line="360" w:beforeAutospacing="1" w:after="0"/>
        <w:jc w:val="both"/>
        <w:rPr>
          <w:rFonts w:ascii="Times New Roman" w:hAnsi="Times New Roman" w:eastAsia="Times New Roman" w:cs="Times New Roman"/>
          <w:sz w:val="24"/>
          <w:szCs w:val="24"/>
          <w:lang w:eastAsia="pt-BR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pt-BR"/>
        </w:rPr>
      </w:r>
    </w:p>
    <w:tbl>
      <w:tblPr>
        <w:tblW w:w="9645" w:type="dxa"/>
        <w:jc w:val="left"/>
        <w:tblInd w:w="0" w:type="dxa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firstRow="1" w:noVBand="1" w:lastRow="0" w:firstColumn="1" w:lastColumn="0" w:noHBand="0" w:val="04a0"/>
      </w:tblPr>
      <w:tblGrid>
        <w:gridCol w:w="3123"/>
        <w:gridCol w:w="4218"/>
        <w:gridCol w:w="2304"/>
      </w:tblGrid>
      <w:tr>
        <w:trPr/>
        <w:tc>
          <w:tcPr>
            <w:tcW w:w="96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5EB91E" w:val="clear"/>
          </w:tcPr>
          <w:p>
            <w:pPr>
              <w:pStyle w:val="Normal"/>
              <w:widowControl w:val="false"/>
              <w:spacing w:lineRule="auto" w:line="276" w:beforeAutospacing="1" w:after="142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pt-BR"/>
              </w:rPr>
              <w:t>INDICADOR Nº 02 – FUNCIONÁRIO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pt-BR"/>
              </w:rPr>
              <w:t>S</w:t>
            </w:r>
          </w:p>
        </w:tc>
      </w:tr>
      <w:tr>
        <w:trPr/>
        <w:tc>
          <w:tcPr>
            <w:tcW w:w="3123" w:type="dxa"/>
            <w:tcBorders>
              <w:left w:val="single" w:sz="6" w:space="0" w:color="000000"/>
              <w:bottom w:val="single" w:sz="6" w:space="0" w:color="000000"/>
            </w:tcBorders>
            <w:shd w:fill="auto" w:val="clear"/>
            <w:tcMar>
              <w:top w:w="0" w:type="dxa"/>
              <w:right w:w="0" w:type="dxa"/>
            </w:tcMar>
          </w:tcPr>
          <w:p>
            <w:pPr>
              <w:pStyle w:val="Normal"/>
              <w:widowControl w:val="false"/>
              <w:spacing w:lineRule="auto" w:line="276" w:beforeAutospacing="1" w:after="142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pt-BR"/>
              </w:rPr>
              <w:t>Finalidade</w:t>
            </w:r>
          </w:p>
        </w:tc>
        <w:tc>
          <w:tcPr>
            <w:tcW w:w="6522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tcMar>
              <w:top w:w="0" w:type="dxa"/>
            </w:tcMar>
          </w:tcPr>
          <w:p>
            <w:pPr>
              <w:pStyle w:val="Normal"/>
              <w:widowControl w:val="false"/>
              <w:spacing w:lineRule="auto" w:line="276" w:beforeAutospacing="1" w:after="142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pt-BR"/>
              </w:rPr>
              <w:t>Garantir a quantidade de serventes necessários(as) à plena execução da prestação dos serviços de manutenção e conduta compatível com o objeto e local da prestação de serviços.</w:t>
            </w:r>
          </w:p>
        </w:tc>
      </w:tr>
      <w:tr>
        <w:trPr/>
        <w:tc>
          <w:tcPr>
            <w:tcW w:w="3123" w:type="dxa"/>
            <w:tcBorders>
              <w:left w:val="single" w:sz="6" w:space="0" w:color="000000"/>
              <w:bottom w:val="single" w:sz="6" w:space="0" w:color="000000"/>
            </w:tcBorders>
            <w:shd w:fill="auto" w:val="clear"/>
            <w:tcMar>
              <w:top w:w="0" w:type="dxa"/>
              <w:right w:w="0" w:type="dxa"/>
            </w:tcMar>
          </w:tcPr>
          <w:p>
            <w:pPr>
              <w:pStyle w:val="Normal"/>
              <w:widowControl w:val="false"/>
              <w:spacing w:lineRule="auto" w:line="276" w:beforeAutospacing="1" w:after="142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pt-BR"/>
              </w:rPr>
              <w:t>Meta a Cumprir</w:t>
            </w:r>
          </w:p>
        </w:tc>
        <w:tc>
          <w:tcPr>
            <w:tcW w:w="6522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tcMar>
              <w:top w:w="0" w:type="dxa"/>
            </w:tcMar>
          </w:tcPr>
          <w:p>
            <w:pPr>
              <w:pStyle w:val="Normal"/>
              <w:widowControl w:val="false"/>
              <w:spacing w:lineRule="auto" w:line="276" w:beforeAutospacing="1" w:after="142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pt-BR"/>
              </w:rPr>
              <w:t>100% da presença dos funcionários e atendimento à conduta e demais condições previstas no contrato.</w:t>
            </w:r>
          </w:p>
        </w:tc>
      </w:tr>
      <w:tr>
        <w:trPr/>
        <w:tc>
          <w:tcPr>
            <w:tcW w:w="3123" w:type="dxa"/>
            <w:tcBorders>
              <w:left w:val="single" w:sz="6" w:space="0" w:color="000000"/>
              <w:bottom w:val="single" w:sz="6" w:space="0" w:color="000000"/>
            </w:tcBorders>
            <w:shd w:fill="auto" w:val="clear"/>
            <w:tcMar>
              <w:top w:w="0" w:type="dxa"/>
              <w:right w:w="0" w:type="dxa"/>
            </w:tcMar>
          </w:tcPr>
          <w:p>
            <w:pPr>
              <w:pStyle w:val="Normal"/>
              <w:widowControl w:val="false"/>
              <w:spacing w:lineRule="auto" w:line="276" w:beforeAutospacing="1" w:after="142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pt-BR"/>
              </w:rPr>
              <w:t>Instrumento de Medição</w:t>
            </w:r>
          </w:p>
        </w:tc>
        <w:tc>
          <w:tcPr>
            <w:tcW w:w="6522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tcMar>
              <w:top w:w="0" w:type="dxa"/>
            </w:tcMar>
          </w:tcPr>
          <w:p>
            <w:pPr>
              <w:pStyle w:val="Normal"/>
              <w:widowControl w:val="false"/>
              <w:spacing w:lineRule="auto" w:line="276" w:beforeAutospacing="1" w:after="142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pt-BR"/>
              </w:rPr>
              <w:t>Conferência Local.</w:t>
            </w:r>
          </w:p>
        </w:tc>
      </w:tr>
      <w:tr>
        <w:trPr/>
        <w:tc>
          <w:tcPr>
            <w:tcW w:w="3123" w:type="dxa"/>
            <w:tcBorders>
              <w:left w:val="single" w:sz="6" w:space="0" w:color="000000"/>
              <w:bottom w:val="single" w:sz="6" w:space="0" w:color="000000"/>
            </w:tcBorders>
            <w:shd w:fill="auto" w:val="clear"/>
            <w:tcMar>
              <w:top w:w="0" w:type="dxa"/>
              <w:right w:w="0" w:type="dxa"/>
            </w:tcMar>
          </w:tcPr>
          <w:p>
            <w:pPr>
              <w:pStyle w:val="Normal"/>
              <w:widowControl w:val="false"/>
              <w:spacing w:lineRule="auto" w:line="276" w:beforeAutospacing="1" w:after="142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pt-BR"/>
              </w:rPr>
              <w:t>Forma de Acompanhamento</w:t>
            </w:r>
          </w:p>
        </w:tc>
        <w:tc>
          <w:tcPr>
            <w:tcW w:w="6522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tcMar>
              <w:top w:w="0" w:type="dxa"/>
            </w:tcMar>
          </w:tcPr>
          <w:p>
            <w:pPr>
              <w:pStyle w:val="Normal"/>
              <w:widowControl w:val="false"/>
              <w:spacing w:lineRule="auto" w:line="276" w:beforeAutospacing="1" w:after="142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pt-BR"/>
              </w:rPr>
              <w:t>Visual, pelo Fiscal do contrato e responsáveis pelo setor.</w:t>
            </w:r>
          </w:p>
        </w:tc>
      </w:tr>
      <w:tr>
        <w:trPr/>
        <w:tc>
          <w:tcPr>
            <w:tcW w:w="3123" w:type="dxa"/>
            <w:tcBorders>
              <w:left w:val="single" w:sz="6" w:space="0" w:color="000000"/>
              <w:bottom w:val="single" w:sz="6" w:space="0" w:color="000000"/>
            </w:tcBorders>
            <w:shd w:fill="auto" w:val="clear"/>
            <w:tcMar>
              <w:top w:w="0" w:type="dxa"/>
              <w:right w:w="0" w:type="dxa"/>
            </w:tcMar>
          </w:tcPr>
          <w:p>
            <w:pPr>
              <w:pStyle w:val="Normal"/>
              <w:widowControl w:val="false"/>
              <w:spacing w:lineRule="auto" w:line="276" w:beforeAutospacing="1" w:after="142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pt-BR"/>
              </w:rPr>
              <w:t>Periodicidade</w:t>
            </w:r>
          </w:p>
        </w:tc>
        <w:tc>
          <w:tcPr>
            <w:tcW w:w="6522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tcMar>
              <w:top w:w="0" w:type="dxa"/>
            </w:tcMar>
          </w:tcPr>
          <w:p>
            <w:pPr>
              <w:pStyle w:val="Normal"/>
              <w:widowControl w:val="false"/>
              <w:spacing w:lineRule="auto" w:line="276" w:beforeAutospacing="1" w:after="142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pt-BR"/>
              </w:rPr>
              <w:t xml:space="preserve">Conforme atividades de manutenção previstas em manual do equipamento e no Contrato (plano de manutenção). </w:t>
            </w:r>
          </w:p>
        </w:tc>
      </w:tr>
      <w:tr>
        <w:trPr/>
        <w:tc>
          <w:tcPr>
            <w:tcW w:w="3123" w:type="dxa"/>
            <w:tcBorders>
              <w:left w:val="single" w:sz="6" w:space="0" w:color="000000"/>
              <w:bottom w:val="single" w:sz="6" w:space="0" w:color="000000"/>
            </w:tcBorders>
            <w:shd w:fill="auto" w:val="clear"/>
            <w:tcMar>
              <w:top w:w="0" w:type="dxa"/>
              <w:right w:w="0" w:type="dxa"/>
            </w:tcMar>
          </w:tcPr>
          <w:p>
            <w:pPr>
              <w:pStyle w:val="Normal"/>
              <w:widowControl w:val="false"/>
              <w:spacing w:lineRule="auto" w:line="276" w:beforeAutospacing="1" w:after="142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pt-BR"/>
              </w:rPr>
              <w:t>Mecanismo de cálculo</w:t>
            </w:r>
          </w:p>
        </w:tc>
        <w:tc>
          <w:tcPr>
            <w:tcW w:w="6522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tcMar>
              <w:top w:w="0" w:type="dxa"/>
            </w:tcMar>
          </w:tcPr>
          <w:p>
            <w:pPr>
              <w:pStyle w:val="Normal"/>
              <w:widowControl w:val="false"/>
              <w:spacing w:lineRule="auto" w:line="276" w:beforeAutospacing="1" w:after="142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pt-BR"/>
              </w:rPr>
              <w:t>Será aplicada a pontuação atribuída para cada ocorrência verificada.</w:t>
            </w:r>
          </w:p>
        </w:tc>
      </w:tr>
      <w:tr>
        <w:trPr/>
        <w:tc>
          <w:tcPr>
            <w:tcW w:w="3123" w:type="dxa"/>
            <w:tcBorders>
              <w:left w:val="single" w:sz="6" w:space="0" w:color="000000"/>
              <w:bottom w:val="single" w:sz="6" w:space="0" w:color="000000"/>
            </w:tcBorders>
            <w:shd w:fill="auto" w:val="clear"/>
            <w:tcMar>
              <w:top w:w="0" w:type="dxa"/>
              <w:right w:w="0" w:type="dxa"/>
            </w:tcMar>
          </w:tcPr>
          <w:p>
            <w:pPr>
              <w:pStyle w:val="Normal"/>
              <w:widowControl w:val="false"/>
              <w:spacing w:lineRule="auto" w:line="276" w:beforeAutospacing="1" w:after="142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pt-BR"/>
              </w:rPr>
              <w:t>Início da Vigência</w:t>
            </w:r>
          </w:p>
        </w:tc>
        <w:tc>
          <w:tcPr>
            <w:tcW w:w="6522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tcMar>
              <w:top w:w="0" w:type="dxa"/>
            </w:tcMar>
          </w:tcPr>
          <w:p>
            <w:pPr>
              <w:pStyle w:val="Normal"/>
              <w:widowControl w:val="false"/>
              <w:spacing w:lineRule="auto" w:line="276" w:beforeAutospacing="1" w:after="142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pt-BR"/>
              </w:rPr>
              <w:t>Conforme definido no Termo de Contrato</w:t>
            </w:r>
          </w:p>
        </w:tc>
      </w:tr>
      <w:tr>
        <w:trPr/>
        <w:tc>
          <w:tcPr>
            <w:tcW w:w="3123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fill="auto" w:val="clear"/>
            <w:tcMar>
              <w:top w:w="0" w:type="dxa"/>
              <w:right w:w="0" w:type="dxa"/>
            </w:tcMar>
          </w:tcPr>
          <w:p>
            <w:pPr>
              <w:pStyle w:val="Normal"/>
              <w:widowControl w:val="false"/>
              <w:spacing w:lineRule="auto" w:line="276" w:beforeAutospacing="1" w:after="142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pt-BR"/>
              </w:rPr>
            </w:r>
          </w:p>
          <w:p>
            <w:pPr>
              <w:pStyle w:val="Normal"/>
              <w:widowControl w:val="false"/>
              <w:spacing w:lineRule="auto" w:line="276" w:beforeAutospacing="1" w:after="142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pt-BR"/>
              </w:rPr>
            </w:r>
          </w:p>
          <w:p>
            <w:pPr>
              <w:pStyle w:val="Normal"/>
              <w:widowControl w:val="false"/>
              <w:spacing w:lineRule="auto" w:line="276" w:beforeAutospacing="1" w:after="142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pt-BR"/>
              </w:rPr>
            </w:r>
          </w:p>
          <w:p>
            <w:pPr>
              <w:pStyle w:val="Normal"/>
              <w:widowControl w:val="false"/>
              <w:spacing w:lineRule="auto" w:line="276" w:beforeAutospacing="1" w:after="142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pt-BR"/>
              </w:rPr>
            </w:r>
          </w:p>
          <w:p>
            <w:pPr>
              <w:pStyle w:val="Normal"/>
              <w:widowControl w:val="false"/>
              <w:spacing w:lineRule="auto" w:line="276" w:beforeAutospacing="1" w:after="142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pt-BR"/>
              </w:rPr>
            </w:r>
          </w:p>
          <w:p>
            <w:pPr>
              <w:pStyle w:val="Normal"/>
              <w:widowControl w:val="false"/>
              <w:spacing w:lineRule="auto" w:line="276" w:beforeAutospacing="1" w:after="142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pt-BR"/>
              </w:rPr>
            </w:r>
          </w:p>
          <w:p>
            <w:pPr>
              <w:pStyle w:val="Normal"/>
              <w:widowControl w:val="false"/>
              <w:spacing w:lineRule="auto" w:line="276" w:beforeAutospacing="1" w:after="142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pt-BR"/>
              </w:rPr>
            </w:r>
          </w:p>
          <w:p>
            <w:pPr>
              <w:pStyle w:val="Normal"/>
              <w:widowControl w:val="false"/>
              <w:spacing w:lineRule="auto" w:line="276" w:beforeAutospacing="1" w:after="142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pt-BR"/>
              </w:rPr>
              <w:t>Ocorrências / Pontuação</w:t>
            </w:r>
          </w:p>
        </w:tc>
        <w:tc>
          <w:tcPr>
            <w:tcW w:w="4218" w:type="dxa"/>
            <w:tcBorders>
              <w:left w:val="single" w:sz="6" w:space="0" w:color="000000"/>
              <w:bottom w:val="single" w:sz="6" w:space="0" w:color="000000"/>
            </w:tcBorders>
            <w:shd w:fill="auto" w:val="clear"/>
            <w:tcMar>
              <w:top w:w="0" w:type="dxa"/>
              <w:right w:w="0" w:type="dxa"/>
            </w:tcMar>
          </w:tcPr>
          <w:p>
            <w:pPr>
              <w:pStyle w:val="Normal"/>
              <w:widowControl w:val="false"/>
              <w:spacing w:lineRule="auto" w:line="276" w:beforeAutospacing="1" w:after="142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pt-BR"/>
              </w:rPr>
              <w:t>Deixar o posto de trabalho, sem a devida justificativa.</w:t>
            </w:r>
          </w:p>
        </w:tc>
        <w:tc>
          <w:tcPr>
            <w:tcW w:w="230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tcMar>
              <w:top w:w="0" w:type="dxa"/>
            </w:tcMar>
          </w:tcPr>
          <w:p>
            <w:pPr>
              <w:pStyle w:val="Normal"/>
              <w:widowControl w:val="false"/>
              <w:spacing w:lineRule="auto" w:line="276" w:beforeAutospacing="1" w:after="142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pt-BR"/>
              </w:rPr>
              <w:t>1,0 por ocorrência, por colaborador</w:t>
            </w:r>
          </w:p>
        </w:tc>
      </w:tr>
      <w:tr>
        <w:trPr/>
        <w:tc>
          <w:tcPr>
            <w:tcW w:w="3123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fill="auto" w:val="clear"/>
            <w:tcMar>
              <w:top w:w="60" w:type="dxa"/>
              <w:left w:w="60" w:type="dxa"/>
              <w:bottom w:w="60" w:type="dxa"/>
              <w:right w:w="6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pt-BR"/>
              </w:rPr>
            </w:r>
          </w:p>
        </w:tc>
        <w:tc>
          <w:tcPr>
            <w:tcW w:w="4218" w:type="dxa"/>
            <w:tcBorders>
              <w:left w:val="single" w:sz="6" w:space="0" w:color="000000"/>
              <w:bottom w:val="single" w:sz="6" w:space="0" w:color="000000"/>
            </w:tcBorders>
            <w:shd w:fill="auto" w:val="clear"/>
            <w:tcMar>
              <w:top w:w="0" w:type="dxa"/>
              <w:right w:w="0" w:type="dxa"/>
            </w:tcMar>
          </w:tcPr>
          <w:p>
            <w:pPr>
              <w:pStyle w:val="Normal"/>
              <w:widowControl w:val="false"/>
              <w:spacing w:lineRule="auto" w:line="276" w:beforeAutospacing="1" w:after="142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pt-BR"/>
              </w:rPr>
              <w:t>Recusar-se a executar os serviços compatíveis com o posto de trabalho, sem motivo justificado.</w:t>
            </w:r>
          </w:p>
        </w:tc>
        <w:tc>
          <w:tcPr>
            <w:tcW w:w="230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tcMar>
              <w:top w:w="0" w:type="dxa"/>
            </w:tcMar>
          </w:tcPr>
          <w:p>
            <w:pPr>
              <w:pStyle w:val="Normal"/>
              <w:widowControl w:val="false"/>
              <w:spacing w:lineRule="auto" w:line="276" w:beforeAutospacing="1" w:after="142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pt-BR"/>
              </w:rPr>
              <w:t>1,0 por ocorrência, por colaborador</w:t>
            </w:r>
          </w:p>
        </w:tc>
      </w:tr>
      <w:tr>
        <w:trPr/>
        <w:tc>
          <w:tcPr>
            <w:tcW w:w="3123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fill="auto" w:val="clear"/>
            <w:tcMar>
              <w:top w:w="60" w:type="dxa"/>
              <w:left w:w="60" w:type="dxa"/>
              <w:bottom w:w="60" w:type="dxa"/>
              <w:right w:w="6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pt-BR"/>
              </w:rPr>
            </w:r>
          </w:p>
        </w:tc>
        <w:tc>
          <w:tcPr>
            <w:tcW w:w="4218" w:type="dxa"/>
            <w:tcBorders>
              <w:left w:val="single" w:sz="6" w:space="0" w:color="000000"/>
              <w:bottom w:val="single" w:sz="6" w:space="0" w:color="000000"/>
            </w:tcBorders>
            <w:shd w:fill="auto" w:val="clear"/>
            <w:tcMar>
              <w:top w:w="0" w:type="dxa"/>
              <w:right w:w="0" w:type="dxa"/>
            </w:tcMar>
          </w:tcPr>
          <w:p>
            <w:pPr>
              <w:pStyle w:val="Normal"/>
              <w:widowControl w:val="false"/>
              <w:spacing w:lineRule="auto" w:line="276" w:beforeAutospacing="1" w:after="142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pt-BR"/>
              </w:rPr>
              <w:t>Destruir ou danificar documentos e/ou equipamentos pertencentes à contratante por culpa ou dolo do funcionário da Contratada.</w:t>
            </w:r>
          </w:p>
        </w:tc>
        <w:tc>
          <w:tcPr>
            <w:tcW w:w="230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tcMar>
              <w:top w:w="0" w:type="dxa"/>
            </w:tcMar>
          </w:tcPr>
          <w:p>
            <w:pPr>
              <w:pStyle w:val="Normal"/>
              <w:widowControl w:val="false"/>
              <w:spacing w:lineRule="auto" w:line="276" w:beforeAutospacing="1" w:after="142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pt-BR"/>
              </w:rPr>
              <w:t>2,0 por ocorrência</w:t>
            </w:r>
          </w:p>
        </w:tc>
      </w:tr>
      <w:tr>
        <w:trPr/>
        <w:tc>
          <w:tcPr>
            <w:tcW w:w="3123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fill="auto" w:val="clear"/>
            <w:tcMar>
              <w:top w:w="60" w:type="dxa"/>
              <w:left w:w="60" w:type="dxa"/>
              <w:bottom w:w="60" w:type="dxa"/>
              <w:right w:w="6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pt-BR"/>
              </w:rPr>
            </w:r>
          </w:p>
        </w:tc>
        <w:tc>
          <w:tcPr>
            <w:tcW w:w="4218" w:type="dxa"/>
            <w:tcBorders>
              <w:left w:val="single" w:sz="6" w:space="0" w:color="000000"/>
              <w:bottom w:val="single" w:sz="6" w:space="0" w:color="000000"/>
            </w:tcBorders>
            <w:shd w:fill="auto" w:val="clear"/>
            <w:tcMar>
              <w:top w:w="0" w:type="dxa"/>
              <w:right w:w="0" w:type="dxa"/>
            </w:tcMar>
          </w:tcPr>
          <w:p>
            <w:pPr>
              <w:pStyle w:val="Normal"/>
              <w:widowControl w:val="false"/>
              <w:spacing w:lineRule="auto" w:line="276" w:beforeAutospacing="1" w:after="142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pt-BR"/>
              </w:rPr>
              <w:t>Adotar conduta incompatível com as atribuições do posto, favorecendo o surgimento de conflitos e desavenças</w:t>
            </w:r>
          </w:p>
        </w:tc>
        <w:tc>
          <w:tcPr>
            <w:tcW w:w="230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tcMar>
              <w:top w:w="0" w:type="dxa"/>
            </w:tcMar>
          </w:tcPr>
          <w:p>
            <w:pPr>
              <w:pStyle w:val="Normal"/>
              <w:widowControl w:val="false"/>
              <w:spacing w:lineRule="auto" w:line="276" w:beforeAutospacing="1" w:after="142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pt-BR"/>
              </w:rPr>
              <w:t>2,0 ponto por ocorrência</w:t>
            </w:r>
          </w:p>
        </w:tc>
      </w:tr>
      <w:tr>
        <w:trPr/>
        <w:tc>
          <w:tcPr>
            <w:tcW w:w="3123" w:type="dxa"/>
            <w:tcBorders>
              <w:left w:val="single" w:sz="6" w:space="0" w:color="000000"/>
              <w:bottom w:val="single" w:sz="6" w:space="0" w:color="000000"/>
            </w:tcBorders>
            <w:shd w:fill="auto" w:val="clear"/>
            <w:tcMar>
              <w:top w:w="0" w:type="dxa"/>
              <w:right w:w="0" w:type="dxa"/>
            </w:tcMar>
          </w:tcPr>
          <w:p>
            <w:pPr>
              <w:pStyle w:val="Normal"/>
              <w:widowControl w:val="false"/>
              <w:spacing w:lineRule="auto" w:line="276" w:beforeAutospacing="1" w:after="142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pt-BR"/>
              </w:rPr>
              <w:t>Faixas de ajustes no Pagamento</w:t>
            </w:r>
          </w:p>
        </w:tc>
        <w:tc>
          <w:tcPr>
            <w:tcW w:w="6522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tcMar>
              <w:top w:w="0" w:type="dxa"/>
            </w:tcMar>
          </w:tcPr>
          <w:p>
            <w:pPr>
              <w:pStyle w:val="Normal"/>
              <w:widowControl w:val="false"/>
              <w:spacing w:lineRule="auto" w:line="276" w:beforeAutospacing="1" w:after="142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pt-BR"/>
              </w:rPr>
              <w:t>Serão registradas as ocorrências constatadas e o somatório dos pontos acumulados, pelo fiscal do contrato, e efetuado o desconto no pagamento, conforme tabela de Descontos.</w:t>
            </w:r>
          </w:p>
        </w:tc>
      </w:tr>
      <w:tr>
        <w:trPr/>
        <w:tc>
          <w:tcPr>
            <w:tcW w:w="3123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fill="auto" w:val="clear"/>
            <w:tcMar>
              <w:top w:w="0" w:type="dxa"/>
              <w:right w:w="0" w:type="dxa"/>
            </w:tcMar>
          </w:tcPr>
          <w:p>
            <w:pPr>
              <w:pStyle w:val="Normal"/>
              <w:widowControl w:val="false"/>
              <w:spacing w:lineRule="auto" w:line="276" w:beforeAutospacing="1" w:after="142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pt-BR"/>
              </w:rPr>
            </w:r>
          </w:p>
          <w:p>
            <w:pPr>
              <w:pStyle w:val="Normal"/>
              <w:widowControl w:val="false"/>
              <w:spacing w:lineRule="auto" w:line="276" w:beforeAutospacing="1" w:after="142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pt-BR"/>
              </w:rPr>
            </w:r>
          </w:p>
          <w:p>
            <w:pPr>
              <w:pStyle w:val="Normal"/>
              <w:widowControl w:val="false"/>
              <w:spacing w:lineRule="auto" w:line="276" w:beforeAutospacing="1" w:after="142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pt-BR"/>
              </w:rPr>
              <w:t>Observações</w:t>
            </w:r>
          </w:p>
        </w:tc>
        <w:tc>
          <w:tcPr>
            <w:tcW w:w="6522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tcMar>
              <w:top w:w="0" w:type="dxa"/>
            </w:tcMar>
          </w:tcPr>
          <w:p>
            <w:pPr>
              <w:pStyle w:val="Normal"/>
              <w:widowControl w:val="false"/>
              <w:spacing w:lineRule="auto" w:line="276" w:beforeAutospacing="1" w:after="142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pt-BR"/>
              </w:rPr>
              <w:t>Os pontos acumulados em cada indicador são cumulativos aos pontos dos demais indicadores.</w:t>
            </w:r>
          </w:p>
        </w:tc>
      </w:tr>
      <w:tr>
        <w:trPr/>
        <w:tc>
          <w:tcPr>
            <w:tcW w:w="3123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fill="auto" w:val="clear"/>
            <w:tcMar>
              <w:top w:w="60" w:type="dxa"/>
              <w:left w:w="60" w:type="dxa"/>
              <w:bottom w:w="60" w:type="dxa"/>
              <w:right w:w="6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pt-BR"/>
              </w:rPr>
            </w:r>
          </w:p>
        </w:tc>
        <w:tc>
          <w:tcPr>
            <w:tcW w:w="6522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tcMar>
              <w:top w:w="0" w:type="dxa"/>
            </w:tcMar>
          </w:tcPr>
          <w:p>
            <w:pPr>
              <w:pStyle w:val="Normal"/>
              <w:widowControl w:val="false"/>
              <w:spacing w:lineRule="auto" w:line="276" w:beforeAutospacing="1" w:after="142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pt-BR"/>
              </w:rPr>
              <w:t>O acúmulo de pontos é mensal, sendo aplicado o desconto relativo às ocorrências do mês de prestação de serviços.</w:t>
            </w:r>
          </w:p>
        </w:tc>
      </w:tr>
      <w:tr>
        <w:trPr/>
        <w:tc>
          <w:tcPr>
            <w:tcW w:w="3123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fill="auto" w:val="clear"/>
            <w:tcMar>
              <w:top w:w="60" w:type="dxa"/>
              <w:left w:w="60" w:type="dxa"/>
              <w:bottom w:w="60" w:type="dxa"/>
              <w:right w:w="6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pt-BR"/>
              </w:rPr>
            </w:r>
          </w:p>
        </w:tc>
        <w:tc>
          <w:tcPr>
            <w:tcW w:w="6522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tcMar>
              <w:top w:w="0" w:type="dxa"/>
            </w:tcMar>
          </w:tcPr>
          <w:p>
            <w:pPr>
              <w:pStyle w:val="Normal"/>
              <w:widowControl w:val="false"/>
              <w:spacing w:lineRule="auto" w:line="276" w:beforeAutospacing="1" w:after="142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pt-BR"/>
              </w:rPr>
              <w:t>A pontuação será zerada para o mês seguinte.</w:t>
            </w:r>
          </w:p>
        </w:tc>
      </w:tr>
    </w:tbl>
    <w:p>
      <w:pPr>
        <w:pStyle w:val="Normal"/>
        <w:spacing w:lineRule="auto" w:line="360" w:beforeAutospacing="1" w:after="0"/>
        <w:jc w:val="both"/>
        <w:rPr>
          <w:rFonts w:ascii="Times New Roman" w:hAnsi="Times New Roman" w:eastAsia="Times New Roman" w:cs="Times New Roman"/>
          <w:sz w:val="24"/>
          <w:szCs w:val="24"/>
          <w:lang w:eastAsia="pt-BR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pt-BR"/>
        </w:rPr>
      </w:r>
    </w:p>
    <w:tbl>
      <w:tblPr>
        <w:tblW w:w="9645" w:type="dxa"/>
        <w:jc w:val="left"/>
        <w:tblInd w:w="0" w:type="dxa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firstRow="1" w:noVBand="1" w:lastRow="0" w:firstColumn="1" w:lastColumn="0" w:noHBand="0" w:val="04a0"/>
      </w:tblPr>
      <w:tblGrid>
        <w:gridCol w:w="3253"/>
        <w:gridCol w:w="4089"/>
        <w:gridCol w:w="2303"/>
      </w:tblGrid>
      <w:tr>
        <w:trPr/>
        <w:tc>
          <w:tcPr>
            <w:tcW w:w="96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5EB91E" w:val="clear"/>
          </w:tcPr>
          <w:p>
            <w:pPr>
              <w:pStyle w:val="Normal"/>
              <w:widowControl w:val="false"/>
              <w:spacing w:lineRule="auto" w:line="276" w:beforeAutospacing="1" w:after="142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pt-BR"/>
              </w:rPr>
              <w:t>INDICADOR Nº 03 – EXECUÇÃO DOS SERVIÇOS</w:t>
            </w:r>
          </w:p>
        </w:tc>
      </w:tr>
      <w:tr>
        <w:trPr/>
        <w:tc>
          <w:tcPr>
            <w:tcW w:w="3253" w:type="dxa"/>
            <w:tcBorders>
              <w:left w:val="single" w:sz="6" w:space="0" w:color="000000"/>
              <w:bottom w:val="single" w:sz="6" w:space="0" w:color="000000"/>
            </w:tcBorders>
            <w:shd w:fill="auto" w:val="clear"/>
            <w:tcMar>
              <w:top w:w="0" w:type="dxa"/>
              <w:right w:w="0" w:type="dxa"/>
            </w:tcMar>
          </w:tcPr>
          <w:p>
            <w:pPr>
              <w:pStyle w:val="Normal"/>
              <w:widowControl w:val="false"/>
              <w:spacing w:lineRule="auto" w:line="276" w:beforeAutospacing="1" w:after="142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pt-BR"/>
              </w:rPr>
              <w:t>Finalidade</w:t>
            </w:r>
          </w:p>
        </w:tc>
        <w:tc>
          <w:tcPr>
            <w:tcW w:w="6392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tcMar>
              <w:top w:w="0" w:type="dxa"/>
            </w:tcMar>
          </w:tcPr>
          <w:p>
            <w:pPr>
              <w:pStyle w:val="Normal"/>
              <w:widowControl w:val="false"/>
              <w:spacing w:lineRule="auto" w:line="276" w:beforeAutospacing="1" w:after="142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pt-BR"/>
              </w:rPr>
              <w:t>Garantir a plena execução da prestação dos serviços contratados.</w:t>
            </w:r>
          </w:p>
        </w:tc>
      </w:tr>
      <w:tr>
        <w:trPr/>
        <w:tc>
          <w:tcPr>
            <w:tcW w:w="3253" w:type="dxa"/>
            <w:tcBorders>
              <w:left w:val="single" w:sz="6" w:space="0" w:color="000000"/>
              <w:bottom w:val="single" w:sz="6" w:space="0" w:color="000000"/>
            </w:tcBorders>
            <w:shd w:fill="auto" w:val="clear"/>
            <w:tcMar>
              <w:top w:w="0" w:type="dxa"/>
              <w:right w:w="0" w:type="dxa"/>
            </w:tcMar>
          </w:tcPr>
          <w:p>
            <w:pPr>
              <w:pStyle w:val="Normal"/>
              <w:widowControl w:val="false"/>
              <w:spacing w:lineRule="auto" w:line="276" w:beforeAutospacing="1" w:after="142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pt-BR"/>
              </w:rPr>
              <w:t>Meta a Cumprir</w:t>
            </w:r>
          </w:p>
        </w:tc>
        <w:tc>
          <w:tcPr>
            <w:tcW w:w="6392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tcMar>
              <w:top w:w="0" w:type="dxa"/>
            </w:tcMar>
          </w:tcPr>
          <w:p>
            <w:pPr>
              <w:pStyle w:val="Normal"/>
              <w:widowControl w:val="false"/>
              <w:spacing w:lineRule="auto" w:line="276" w:beforeAutospacing="1" w:after="142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pt-BR"/>
              </w:rPr>
              <w:t>100% de qualidade na execução dos serviços contratados.</w:t>
            </w:r>
          </w:p>
        </w:tc>
      </w:tr>
      <w:tr>
        <w:trPr/>
        <w:tc>
          <w:tcPr>
            <w:tcW w:w="3253" w:type="dxa"/>
            <w:tcBorders>
              <w:left w:val="single" w:sz="6" w:space="0" w:color="000000"/>
              <w:bottom w:val="single" w:sz="6" w:space="0" w:color="000000"/>
            </w:tcBorders>
            <w:shd w:fill="auto" w:val="clear"/>
            <w:tcMar>
              <w:top w:w="0" w:type="dxa"/>
              <w:right w:w="0" w:type="dxa"/>
            </w:tcMar>
          </w:tcPr>
          <w:p>
            <w:pPr>
              <w:pStyle w:val="Normal"/>
              <w:widowControl w:val="false"/>
              <w:spacing w:lineRule="auto" w:line="276" w:beforeAutospacing="1" w:after="142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pt-BR"/>
              </w:rPr>
              <w:t>Tempo Médio para Reparo</w:t>
            </w:r>
          </w:p>
        </w:tc>
        <w:tc>
          <w:tcPr>
            <w:tcW w:w="6392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tcMar>
              <w:top w:w="0" w:type="dxa"/>
            </w:tcMar>
          </w:tcPr>
          <w:p>
            <w:pPr>
              <w:pStyle w:val="Normal"/>
              <w:widowControl w:val="false"/>
              <w:spacing w:lineRule="auto" w:line="276" w:beforeAutospacing="1" w:after="142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pt-BR"/>
              </w:rPr>
              <w:t>01 hora (30’ para deslocamento + 30’ para reparo no equipamento)</w:t>
            </w:r>
          </w:p>
        </w:tc>
      </w:tr>
      <w:tr>
        <w:trPr/>
        <w:tc>
          <w:tcPr>
            <w:tcW w:w="3253" w:type="dxa"/>
            <w:tcBorders>
              <w:left w:val="single" w:sz="6" w:space="0" w:color="000000"/>
              <w:bottom w:val="single" w:sz="6" w:space="0" w:color="000000"/>
            </w:tcBorders>
            <w:shd w:fill="auto" w:val="clear"/>
            <w:tcMar>
              <w:top w:w="0" w:type="dxa"/>
              <w:right w:w="0" w:type="dxa"/>
            </w:tcMar>
          </w:tcPr>
          <w:p>
            <w:pPr>
              <w:pStyle w:val="Normal"/>
              <w:widowControl w:val="false"/>
              <w:spacing w:lineRule="auto" w:line="276" w:beforeAutospacing="1" w:after="142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pt-BR"/>
              </w:rPr>
              <w:t>Performance de manutenção preventiva</w:t>
            </w:r>
          </w:p>
        </w:tc>
        <w:tc>
          <w:tcPr>
            <w:tcW w:w="6392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tcMar>
              <w:top w:w="0" w:type="dxa"/>
            </w:tcMar>
          </w:tcPr>
          <w:p>
            <w:pPr>
              <w:pStyle w:val="Normal"/>
              <w:widowControl w:val="false"/>
              <w:spacing w:lineRule="auto" w:line="276" w:beforeAutospacing="1" w:after="142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pt-BR"/>
              </w:rPr>
              <w:t>Mínima de 95%</w:t>
            </w:r>
          </w:p>
        </w:tc>
      </w:tr>
      <w:tr>
        <w:trPr/>
        <w:tc>
          <w:tcPr>
            <w:tcW w:w="3253" w:type="dxa"/>
            <w:tcBorders>
              <w:left w:val="single" w:sz="6" w:space="0" w:color="000000"/>
              <w:bottom w:val="single" w:sz="6" w:space="0" w:color="000000"/>
            </w:tcBorders>
            <w:shd w:fill="auto" w:val="clear"/>
            <w:tcMar>
              <w:top w:w="0" w:type="dxa"/>
              <w:right w:w="0" w:type="dxa"/>
            </w:tcMar>
          </w:tcPr>
          <w:p>
            <w:pPr>
              <w:pStyle w:val="Normal"/>
              <w:widowControl w:val="false"/>
              <w:spacing w:lineRule="auto" w:line="276" w:beforeAutospacing="1" w:after="142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pt-BR"/>
              </w:rPr>
              <w:t>Disponibilidade do equipamento</w:t>
            </w:r>
          </w:p>
        </w:tc>
        <w:tc>
          <w:tcPr>
            <w:tcW w:w="6392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tcMar>
              <w:top w:w="0" w:type="dxa"/>
            </w:tcMar>
          </w:tcPr>
          <w:p>
            <w:pPr>
              <w:pStyle w:val="Normal"/>
              <w:widowControl w:val="false"/>
              <w:spacing w:lineRule="auto" w:line="276" w:beforeAutospacing="1" w:after="142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pt-BR"/>
              </w:rPr>
              <w:t>Mínima de 95%</w:t>
            </w:r>
          </w:p>
        </w:tc>
      </w:tr>
      <w:tr>
        <w:trPr/>
        <w:tc>
          <w:tcPr>
            <w:tcW w:w="3253" w:type="dxa"/>
            <w:tcBorders>
              <w:left w:val="single" w:sz="6" w:space="0" w:color="000000"/>
              <w:bottom w:val="single" w:sz="6" w:space="0" w:color="000000"/>
            </w:tcBorders>
            <w:shd w:fill="auto" w:val="clear"/>
            <w:tcMar>
              <w:top w:w="0" w:type="dxa"/>
              <w:right w:w="0" w:type="dxa"/>
            </w:tcMar>
          </w:tcPr>
          <w:p>
            <w:pPr>
              <w:pStyle w:val="Normal"/>
              <w:widowControl w:val="false"/>
              <w:spacing w:lineRule="auto" w:line="276" w:beforeAutospacing="1" w:after="142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pt-BR"/>
              </w:rPr>
              <w:t>Instrumento de Medição</w:t>
            </w:r>
          </w:p>
        </w:tc>
        <w:tc>
          <w:tcPr>
            <w:tcW w:w="6392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tcMar>
              <w:top w:w="0" w:type="dxa"/>
            </w:tcMar>
          </w:tcPr>
          <w:p>
            <w:pPr>
              <w:pStyle w:val="Normal"/>
              <w:widowControl w:val="false"/>
              <w:spacing w:lineRule="auto" w:line="276" w:beforeAutospacing="1" w:after="142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pt-BR"/>
              </w:rPr>
              <w:t>Conferência Local</w:t>
            </w:r>
          </w:p>
        </w:tc>
      </w:tr>
      <w:tr>
        <w:trPr/>
        <w:tc>
          <w:tcPr>
            <w:tcW w:w="3253" w:type="dxa"/>
            <w:tcBorders>
              <w:left w:val="single" w:sz="6" w:space="0" w:color="000000"/>
              <w:bottom w:val="single" w:sz="6" w:space="0" w:color="000000"/>
            </w:tcBorders>
            <w:shd w:fill="auto" w:val="clear"/>
            <w:tcMar>
              <w:top w:w="0" w:type="dxa"/>
              <w:right w:w="0" w:type="dxa"/>
            </w:tcMar>
          </w:tcPr>
          <w:p>
            <w:pPr>
              <w:pStyle w:val="Normal"/>
              <w:widowControl w:val="false"/>
              <w:spacing w:lineRule="auto" w:line="276" w:beforeAutospacing="1" w:after="142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pt-BR"/>
              </w:rPr>
              <w:t>Forma de Acompanhamento</w:t>
            </w:r>
          </w:p>
        </w:tc>
        <w:tc>
          <w:tcPr>
            <w:tcW w:w="6392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tcMar>
              <w:top w:w="0" w:type="dxa"/>
            </w:tcMar>
          </w:tcPr>
          <w:p>
            <w:pPr>
              <w:pStyle w:val="Normal"/>
              <w:widowControl w:val="false"/>
              <w:spacing w:lineRule="auto" w:line="276" w:beforeAutospacing="1" w:after="142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pt-BR"/>
              </w:rPr>
              <w:t>Visual, pelo Fiscal do contrato e responsáveis pelo setor.</w:t>
            </w:r>
          </w:p>
        </w:tc>
      </w:tr>
      <w:tr>
        <w:trPr/>
        <w:tc>
          <w:tcPr>
            <w:tcW w:w="3253" w:type="dxa"/>
            <w:tcBorders>
              <w:left w:val="single" w:sz="6" w:space="0" w:color="000000"/>
              <w:bottom w:val="single" w:sz="6" w:space="0" w:color="000000"/>
            </w:tcBorders>
            <w:shd w:fill="auto" w:val="clear"/>
            <w:tcMar>
              <w:top w:w="0" w:type="dxa"/>
              <w:right w:w="0" w:type="dxa"/>
            </w:tcMar>
          </w:tcPr>
          <w:p>
            <w:pPr>
              <w:pStyle w:val="Normal"/>
              <w:widowControl w:val="false"/>
              <w:spacing w:lineRule="auto" w:line="276" w:beforeAutospacing="1" w:after="142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pt-BR"/>
              </w:rPr>
              <w:t>Periodicidade</w:t>
            </w:r>
          </w:p>
        </w:tc>
        <w:tc>
          <w:tcPr>
            <w:tcW w:w="6392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tcMar>
              <w:top w:w="0" w:type="dxa"/>
            </w:tcMar>
          </w:tcPr>
          <w:p>
            <w:pPr>
              <w:pStyle w:val="Normal"/>
              <w:widowControl w:val="false"/>
              <w:spacing w:lineRule="auto" w:line="276" w:beforeAutospacing="1" w:after="142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pt-BR"/>
              </w:rPr>
              <w:t xml:space="preserve">Conforme atividades de manutenção previstas em manual do equipamento e no Contrato (plano de manutenção). </w:t>
            </w:r>
          </w:p>
        </w:tc>
      </w:tr>
      <w:tr>
        <w:trPr/>
        <w:tc>
          <w:tcPr>
            <w:tcW w:w="3253" w:type="dxa"/>
            <w:tcBorders>
              <w:left w:val="single" w:sz="6" w:space="0" w:color="000000"/>
              <w:bottom w:val="single" w:sz="6" w:space="0" w:color="000000"/>
            </w:tcBorders>
            <w:shd w:fill="auto" w:val="clear"/>
            <w:tcMar>
              <w:top w:w="0" w:type="dxa"/>
              <w:right w:w="0" w:type="dxa"/>
            </w:tcMar>
          </w:tcPr>
          <w:p>
            <w:pPr>
              <w:pStyle w:val="Normal"/>
              <w:widowControl w:val="false"/>
              <w:spacing w:lineRule="auto" w:line="276" w:beforeAutospacing="1" w:after="142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pt-BR"/>
              </w:rPr>
              <w:t>Mecanismo de cálculo</w:t>
            </w:r>
          </w:p>
        </w:tc>
        <w:tc>
          <w:tcPr>
            <w:tcW w:w="6392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tcMar>
              <w:top w:w="0" w:type="dxa"/>
            </w:tcMar>
          </w:tcPr>
          <w:p>
            <w:pPr>
              <w:pStyle w:val="Normal"/>
              <w:widowControl w:val="false"/>
              <w:spacing w:lineRule="auto" w:line="276" w:beforeAutospacing="1" w:after="142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pt-BR"/>
              </w:rPr>
              <w:t>Será aplicada a pontuação atribuída para cada ocorrência verificada.</w:t>
            </w:r>
          </w:p>
        </w:tc>
      </w:tr>
      <w:tr>
        <w:trPr/>
        <w:tc>
          <w:tcPr>
            <w:tcW w:w="3253" w:type="dxa"/>
            <w:tcBorders>
              <w:left w:val="single" w:sz="6" w:space="0" w:color="000000"/>
              <w:bottom w:val="single" w:sz="6" w:space="0" w:color="000000"/>
            </w:tcBorders>
            <w:shd w:fill="auto" w:val="clear"/>
            <w:tcMar>
              <w:top w:w="0" w:type="dxa"/>
              <w:right w:w="0" w:type="dxa"/>
            </w:tcMar>
          </w:tcPr>
          <w:p>
            <w:pPr>
              <w:pStyle w:val="Normal"/>
              <w:widowControl w:val="false"/>
              <w:spacing w:lineRule="auto" w:line="276" w:beforeAutospacing="1" w:after="142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pt-BR"/>
              </w:rPr>
              <w:t>Início da Vigência</w:t>
            </w:r>
          </w:p>
        </w:tc>
        <w:tc>
          <w:tcPr>
            <w:tcW w:w="6392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tcMar>
              <w:top w:w="0" w:type="dxa"/>
            </w:tcMar>
          </w:tcPr>
          <w:p>
            <w:pPr>
              <w:pStyle w:val="Normal"/>
              <w:widowControl w:val="false"/>
              <w:spacing w:lineRule="auto" w:line="276" w:beforeAutospacing="1" w:after="142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pt-BR"/>
              </w:rPr>
              <w:t>Conforme definido no Termo de Contrato.</w:t>
            </w:r>
          </w:p>
        </w:tc>
      </w:tr>
      <w:tr>
        <w:trPr/>
        <w:tc>
          <w:tcPr>
            <w:tcW w:w="3253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fill="auto" w:val="clear"/>
            <w:tcMar>
              <w:top w:w="0" w:type="dxa"/>
              <w:right w:w="0" w:type="dxa"/>
            </w:tcMar>
          </w:tcPr>
          <w:p>
            <w:pPr>
              <w:pStyle w:val="Normal"/>
              <w:widowControl w:val="false"/>
              <w:spacing w:lineRule="auto" w:line="276" w:beforeAutospacing="1" w:after="142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pt-BR"/>
              </w:rPr>
            </w:r>
          </w:p>
          <w:p>
            <w:pPr>
              <w:pStyle w:val="Normal"/>
              <w:widowControl w:val="false"/>
              <w:spacing w:lineRule="auto" w:line="276" w:beforeAutospacing="1" w:after="142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pt-BR"/>
              </w:rPr>
            </w:r>
          </w:p>
          <w:p>
            <w:pPr>
              <w:pStyle w:val="Normal"/>
              <w:widowControl w:val="false"/>
              <w:spacing w:lineRule="auto" w:line="276" w:beforeAutospacing="1" w:after="142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pt-BR"/>
              </w:rPr>
            </w:r>
          </w:p>
          <w:p>
            <w:pPr>
              <w:pStyle w:val="Normal"/>
              <w:widowControl w:val="false"/>
              <w:spacing w:lineRule="auto" w:line="276" w:beforeAutospacing="1" w:after="142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pt-BR"/>
              </w:rPr>
            </w:r>
          </w:p>
          <w:p>
            <w:pPr>
              <w:pStyle w:val="Normal"/>
              <w:widowControl w:val="false"/>
              <w:spacing w:lineRule="auto" w:line="276" w:beforeAutospacing="1" w:after="142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pt-BR"/>
              </w:rPr>
            </w:r>
          </w:p>
          <w:p>
            <w:pPr>
              <w:pStyle w:val="Normal"/>
              <w:widowControl w:val="false"/>
              <w:spacing w:lineRule="auto" w:line="276" w:beforeAutospacing="1" w:after="142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pt-BR"/>
              </w:rPr>
            </w:r>
          </w:p>
          <w:p>
            <w:pPr>
              <w:pStyle w:val="Normal"/>
              <w:widowControl w:val="false"/>
              <w:spacing w:lineRule="auto" w:line="276" w:beforeAutospacing="1" w:after="142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pt-BR"/>
              </w:rPr>
            </w:r>
          </w:p>
          <w:p>
            <w:pPr>
              <w:pStyle w:val="Normal"/>
              <w:widowControl w:val="false"/>
              <w:spacing w:lineRule="auto" w:line="276" w:beforeAutospacing="1" w:after="142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pt-BR"/>
              </w:rPr>
            </w:r>
          </w:p>
          <w:p>
            <w:pPr>
              <w:pStyle w:val="Normal"/>
              <w:widowControl w:val="false"/>
              <w:spacing w:lineRule="auto" w:line="276" w:beforeAutospacing="1" w:after="142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pt-BR"/>
              </w:rPr>
              <w:t>Ocorrências / Pontuação</w:t>
            </w:r>
          </w:p>
        </w:tc>
        <w:tc>
          <w:tcPr>
            <w:tcW w:w="4089" w:type="dxa"/>
            <w:tcBorders>
              <w:left w:val="single" w:sz="6" w:space="0" w:color="000000"/>
              <w:bottom w:val="single" w:sz="6" w:space="0" w:color="000000"/>
            </w:tcBorders>
            <w:shd w:fill="auto" w:val="clear"/>
            <w:tcMar>
              <w:top w:w="0" w:type="dxa"/>
              <w:right w:w="0" w:type="dxa"/>
            </w:tcMar>
          </w:tcPr>
          <w:p>
            <w:pPr>
              <w:pStyle w:val="Normal"/>
              <w:widowControl w:val="false"/>
              <w:spacing w:lineRule="auto" w:line="276" w:beforeAutospacing="1" w:after="142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pt-BR"/>
              </w:rPr>
              <w:t>Deixar de apresentar ou substituir preposto no prazo estabelecido em edital.</w:t>
            </w:r>
          </w:p>
        </w:tc>
        <w:tc>
          <w:tcPr>
            <w:tcW w:w="230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tcMar>
              <w:top w:w="0" w:type="dxa"/>
            </w:tcMar>
          </w:tcPr>
          <w:p>
            <w:pPr>
              <w:pStyle w:val="Normal"/>
              <w:widowControl w:val="false"/>
              <w:spacing w:lineRule="auto" w:line="276" w:beforeAutospacing="1" w:after="142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pt-BR"/>
              </w:rPr>
              <w:t>1,0 por dia</w:t>
            </w:r>
          </w:p>
        </w:tc>
      </w:tr>
      <w:tr>
        <w:trPr/>
        <w:tc>
          <w:tcPr>
            <w:tcW w:w="3253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fill="auto" w:val="clear"/>
            <w:tcMar>
              <w:top w:w="60" w:type="dxa"/>
              <w:left w:w="60" w:type="dxa"/>
              <w:bottom w:w="60" w:type="dxa"/>
              <w:right w:w="6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pt-BR"/>
              </w:rPr>
            </w:r>
          </w:p>
        </w:tc>
        <w:tc>
          <w:tcPr>
            <w:tcW w:w="4089" w:type="dxa"/>
            <w:tcBorders>
              <w:left w:val="single" w:sz="6" w:space="0" w:color="000000"/>
              <w:bottom w:val="single" w:sz="6" w:space="0" w:color="000000"/>
            </w:tcBorders>
            <w:shd w:fill="auto" w:val="clear"/>
            <w:tcMar>
              <w:top w:w="0" w:type="dxa"/>
              <w:right w:w="0" w:type="dxa"/>
            </w:tcMar>
          </w:tcPr>
          <w:p>
            <w:pPr>
              <w:pStyle w:val="Normal"/>
              <w:widowControl w:val="false"/>
              <w:spacing w:lineRule="auto" w:line="276" w:beforeAutospacing="1" w:after="142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pt-BR"/>
              </w:rPr>
              <w:t>Não atendimento às solicitações efetuadas pela gestão e fiscalização do serviço.</w:t>
            </w:r>
          </w:p>
        </w:tc>
        <w:tc>
          <w:tcPr>
            <w:tcW w:w="230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tcMar>
              <w:top w:w="0" w:type="dxa"/>
            </w:tcMar>
          </w:tcPr>
          <w:p>
            <w:pPr>
              <w:pStyle w:val="Normal"/>
              <w:widowControl w:val="false"/>
              <w:spacing w:lineRule="auto" w:line="276" w:beforeAutospacing="1" w:after="142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pt-BR"/>
              </w:rPr>
              <w:t>1,0 por ocorrência</w:t>
            </w:r>
          </w:p>
        </w:tc>
      </w:tr>
      <w:tr>
        <w:trPr/>
        <w:tc>
          <w:tcPr>
            <w:tcW w:w="3253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fill="auto" w:val="clear"/>
            <w:tcMar>
              <w:top w:w="60" w:type="dxa"/>
              <w:left w:w="60" w:type="dxa"/>
              <w:bottom w:w="60" w:type="dxa"/>
              <w:right w:w="6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pt-BR"/>
              </w:rPr>
            </w:r>
          </w:p>
        </w:tc>
        <w:tc>
          <w:tcPr>
            <w:tcW w:w="4089" w:type="dxa"/>
            <w:tcBorders>
              <w:left w:val="single" w:sz="6" w:space="0" w:color="000000"/>
              <w:bottom w:val="single" w:sz="6" w:space="0" w:color="000000"/>
            </w:tcBorders>
            <w:shd w:fill="auto" w:val="clear"/>
            <w:tcMar>
              <w:top w:w="0" w:type="dxa"/>
              <w:right w:w="0" w:type="dxa"/>
            </w:tcMar>
          </w:tcPr>
          <w:p>
            <w:pPr>
              <w:pStyle w:val="Normal"/>
              <w:widowControl w:val="false"/>
              <w:spacing w:lineRule="auto" w:line="276" w:beforeAutospacing="1" w:after="142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pt-BR"/>
              </w:rPr>
              <w:t>Deixar de limpar áreas cobertas pelo objeto da contratação, de acordo com a escala e periodicidade estabelecida pela Administração.</w:t>
            </w:r>
          </w:p>
        </w:tc>
        <w:tc>
          <w:tcPr>
            <w:tcW w:w="230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tcMar>
              <w:top w:w="0" w:type="dxa"/>
            </w:tcMar>
          </w:tcPr>
          <w:p>
            <w:pPr>
              <w:pStyle w:val="Normal"/>
              <w:widowControl w:val="false"/>
              <w:spacing w:lineRule="auto" w:line="276" w:beforeAutospacing="1" w:after="142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pt-BR"/>
              </w:rPr>
              <w:t>0,5 por ocorrência</w:t>
            </w:r>
          </w:p>
        </w:tc>
      </w:tr>
      <w:tr>
        <w:trPr/>
        <w:tc>
          <w:tcPr>
            <w:tcW w:w="3253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fill="auto" w:val="clear"/>
            <w:tcMar>
              <w:top w:w="60" w:type="dxa"/>
              <w:left w:w="60" w:type="dxa"/>
              <w:bottom w:w="60" w:type="dxa"/>
              <w:right w:w="6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pt-BR"/>
              </w:rPr>
            </w:r>
          </w:p>
        </w:tc>
        <w:tc>
          <w:tcPr>
            <w:tcW w:w="4089" w:type="dxa"/>
            <w:tcBorders>
              <w:left w:val="single" w:sz="6" w:space="0" w:color="000000"/>
              <w:bottom w:val="single" w:sz="6" w:space="0" w:color="000000"/>
            </w:tcBorders>
            <w:shd w:fill="auto" w:val="clear"/>
            <w:tcMar>
              <w:top w:w="0" w:type="dxa"/>
              <w:right w:w="0" w:type="dxa"/>
            </w:tcMar>
          </w:tcPr>
          <w:p>
            <w:pPr>
              <w:pStyle w:val="Normal"/>
              <w:widowControl w:val="false"/>
              <w:spacing w:lineRule="auto" w:line="276" w:beforeAutospacing="1" w:after="142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pt-BR"/>
              </w:rPr>
              <w:t>Resultado ineficiente da limpeza, tais como: sujeira na tubulação, filtros ou equipamentos, lixo não recolhido, etc.</w:t>
            </w:r>
          </w:p>
        </w:tc>
        <w:tc>
          <w:tcPr>
            <w:tcW w:w="230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tcMar>
              <w:top w:w="0" w:type="dxa"/>
            </w:tcMar>
          </w:tcPr>
          <w:p>
            <w:pPr>
              <w:pStyle w:val="Normal"/>
              <w:widowControl w:val="false"/>
              <w:spacing w:lineRule="auto" w:line="276" w:beforeAutospacing="1" w:after="142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pt-BR"/>
              </w:rPr>
              <w:t>0,5 por ocorrência</w:t>
            </w:r>
          </w:p>
        </w:tc>
      </w:tr>
      <w:tr>
        <w:trPr/>
        <w:tc>
          <w:tcPr>
            <w:tcW w:w="3253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fill="auto" w:val="clear"/>
            <w:tcMar>
              <w:top w:w="60" w:type="dxa"/>
              <w:left w:w="60" w:type="dxa"/>
              <w:bottom w:w="60" w:type="dxa"/>
              <w:right w:w="6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pt-BR"/>
              </w:rPr>
            </w:r>
          </w:p>
        </w:tc>
        <w:tc>
          <w:tcPr>
            <w:tcW w:w="4089" w:type="dxa"/>
            <w:tcBorders>
              <w:left w:val="single" w:sz="6" w:space="0" w:color="000000"/>
              <w:bottom w:val="single" w:sz="6" w:space="0" w:color="000000"/>
            </w:tcBorders>
            <w:shd w:fill="auto" w:val="clear"/>
            <w:tcMar>
              <w:top w:w="0" w:type="dxa"/>
              <w:right w:w="0" w:type="dxa"/>
            </w:tcMar>
          </w:tcPr>
          <w:p>
            <w:pPr>
              <w:pStyle w:val="Normal"/>
              <w:widowControl w:val="false"/>
              <w:spacing w:lineRule="auto" w:line="276" w:beforeAutospacing="1" w:after="142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pt-BR"/>
              </w:rPr>
              <w:t>Enviar funcionário sem as competências previstas, para a execução dos serviços.</w:t>
            </w:r>
          </w:p>
        </w:tc>
        <w:tc>
          <w:tcPr>
            <w:tcW w:w="230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tcMar>
              <w:top w:w="0" w:type="dxa"/>
            </w:tcMar>
          </w:tcPr>
          <w:p>
            <w:pPr>
              <w:pStyle w:val="Normal"/>
              <w:widowControl w:val="false"/>
              <w:spacing w:lineRule="auto" w:line="276" w:beforeAutospacing="1" w:after="142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pt-BR"/>
              </w:rPr>
              <w:t>0,5 ponto por colaborador, por dia</w:t>
            </w:r>
          </w:p>
        </w:tc>
      </w:tr>
      <w:tr>
        <w:trPr/>
        <w:tc>
          <w:tcPr>
            <w:tcW w:w="3253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fill="auto" w:val="clear"/>
            <w:tcMar>
              <w:top w:w="60" w:type="dxa"/>
              <w:left w:w="60" w:type="dxa"/>
              <w:bottom w:w="60" w:type="dxa"/>
              <w:right w:w="6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pt-BR"/>
              </w:rPr>
            </w:r>
          </w:p>
        </w:tc>
        <w:tc>
          <w:tcPr>
            <w:tcW w:w="4089" w:type="dxa"/>
            <w:tcBorders>
              <w:left w:val="single" w:sz="6" w:space="0" w:color="000000"/>
              <w:bottom w:val="single" w:sz="6" w:space="0" w:color="000000"/>
            </w:tcBorders>
            <w:shd w:fill="auto" w:val="clear"/>
            <w:tcMar>
              <w:top w:w="0" w:type="dxa"/>
              <w:right w:w="0" w:type="dxa"/>
            </w:tcMar>
          </w:tcPr>
          <w:p>
            <w:pPr>
              <w:pStyle w:val="Normal"/>
              <w:widowControl w:val="false"/>
              <w:spacing w:lineRule="auto" w:line="276" w:beforeAutospacing="1" w:after="142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pt-BR"/>
              </w:rPr>
              <w:t>Deixar de substituir funcionário com rendimento insatisfatório ou que tenha conduta incompatível com suas atribuições, quando solicitado e no prazo previsto.</w:t>
            </w:r>
          </w:p>
        </w:tc>
        <w:tc>
          <w:tcPr>
            <w:tcW w:w="230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tcMar>
              <w:top w:w="0" w:type="dxa"/>
            </w:tcMar>
          </w:tcPr>
          <w:p>
            <w:pPr>
              <w:pStyle w:val="Normal"/>
              <w:widowControl w:val="false"/>
              <w:spacing w:lineRule="auto" w:line="276" w:beforeAutospacing="1" w:after="142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pt-BR"/>
              </w:rPr>
              <w:t>1,0 ponto por colaborador, por dia</w:t>
            </w:r>
          </w:p>
        </w:tc>
      </w:tr>
      <w:tr>
        <w:trPr/>
        <w:tc>
          <w:tcPr>
            <w:tcW w:w="3253" w:type="dxa"/>
            <w:tcBorders>
              <w:left w:val="single" w:sz="6" w:space="0" w:color="000000"/>
              <w:bottom w:val="single" w:sz="6" w:space="0" w:color="000000"/>
            </w:tcBorders>
            <w:shd w:fill="auto" w:val="clear"/>
            <w:tcMar>
              <w:top w:w="0" w:type="dxa"/>
              <w:right w:w="0" w:type="dxa"/>
            </w:tcMar>
          </w:tcPr>
          <w:p>
            <w:pPr>
              <w:pStyle w:val="Normal"/>
              <w:widowControl w:val="false"/>
              <w:spacing w:lineRule="auto" w:line="276" w:beforeAutospacing="1" w:after="142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pt-BR"/>
              </w:rPr>
              <w:t>Faixas de ajustes no Pagamento</w:t>
            </w:r>
          </w:p>
        </w:tc>
        <w:tc>
          <w:tcPr>
            <w:tcW w:w="6392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tcMar>
              <w:top w:w="0" w:type="dxa"/>
            </w:tcMar>
          </w:tcPr>
          <w:p>
            <w:pPr>
              <w:pStyle w:val="Normal"/>
              <w:widowControl w:val="false"/>
              <w:spacing w:lineRule="auto" w:line="276" w:beforeAutospacing="1" w:after="142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pt-BR"/>
              </w:rPr>
              <w:t>Serão registradas as ocorrências constatadas e o somatório dos pontos acumulados, pelo fiscal do contrato, e efetuado o desconto no pagamento, conforme tabela de Descontos.</w:t>
            </w:r>
          </w:p>
        </w:tc>
      </w:tr>
      <w:tr>
        <w:trPr/>
        <w:tc>
          <w:tcPr>
            <w:tcW w:w="3253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fill="auto" w:val="clear"/>
            <w:tcMar>
              <w:top w:w="0" w:type="dxa"/>
              <w:right w:w="0" w:type="dxa"/>
            </w:tcMar>
          </w:tcPr>
          <w:p>
            <w:pPr>
              <w:pStyle w:val="Normal"/>
              <w:widowControl w:val="false"/>
              <w:spacing w:lineRule="auto" w:line="276" w:beforeAutospacing="1" w:after="142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pt-BR"/>
              </w:rPr>
            </w:r>
          </w:p>
          <w:p>
            <w:pPr>
              <w:pStyle w:val="Normal"/>
              <w:widowControl w:val="false"/>
              <w:spacing w:lineRule="auto" w:line="276" w:beforeAutospacing="1" w:after="142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pt-BR"/>
              </w:rPr>
            </w:r>
          </w:p>
          <w:p>
            <w:pPr>
              <w:pStyle w:val="Normal"/>
              <w:widowControl w:val="false"/>
              <w:spacing w:lineRule="auto" w:line="276" w:beforeAutospacing="1" w:after="142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pt-BR"/>
              </w:rPr>
              <w:t>Observações</w:t>
            </w:r>
          </w:p>
        </w:tc>
        <w:tc>
          <w:tcPr>
            <w:tcW w:w="6392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tcMar>
              <w:top w:w="0" w:type="dxa"/>
            </w:tcMar>
          </w:tcPr>
          <w:p>
            <w:pPr>
              <w:pStyle w:val="Normal"/>
              <w:widowControl w:val="false"/>
              <w:spacing w:lineRule="auto" w:line="276" w:beforeAutospacing="1" w:after="142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pt-BR"/>
              </w:rPr>
              <w:t>Os pontos acumulados em cada indicador são cumulativos aos pontos dos demais indicadores.</w:t>
            </w:r>
          </w:p>
        </w:tc>
      </w:tr>
      <w:tr>
        <w:trPr/>
        <w:tc>
          <w:tcPr>
            <w:tcW w:w="3253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fill="auto" w:val="clear"/>
            <w:tcMar>
              <w:top w:w="60" w:type="dxa"/>
              <w:left w:w="60" w:type="dxa"/>
              <w:bottom w:w="60" w:type="dxa"/>
              <w:right w:w="6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pt-BR"/>
              </w:rPr>
            </w:r>
          </w:p>
        </w:tc>
        <w:tc>
          <w:tcPr>
            <w:tcW w:w="6392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tcMar>
              <w:top w:w="0" w:type="dxa"/>
            </w:tcMar>
          </w:tcPr>
          <w:p>
            <w:pPr>
              <w:pStyle w:val="Normal"/>
              <w:widowControl w:val="false"/>
              <w:spacing w:lineRule="auto" w:line="276" w:beforeAutospacing="1" w:after="142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pt-BR"/>
              </w:rPr>
              <w:t>O acúmulo de pontos é mensal, sendo aplicado o desconto relativo às ocorrências do mês de prestação de serviços.</w:t>
            </w:r>
          </w:p>
        </w:tc>
      </w:tr>
      <w:tr>
        <w:trPr/>
        <w:tc>
          <w:tcPr>
            <w:tcW w:w="3253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fill="auto" w:val="clear"/>
            <w:tcMar>
              <w:top w:w="60" w:type="dxa"/>
              <w:left w:w="60" w:type="dxa"/>
              <w:bottom w:w="60" w:type="dxa"/>
              <w:right w:w="6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pt-BR"/>
              </w:rPr>
            </w:r>
          </w:p>
        </w:tc>
        <w:tc>
          <w:tcPr>
            <w:tcW w:w="6392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tcMar>
              <w:top w:w="0" w:type="dxa"/>
            </w:tcMar>
          </w:tcPr>
          <w:p>
            <w:pPr>
              <w:pStyle w:val="Normal"/>
              <w:widowControl w:val="false"/>
              <w:spacing w:lineRule="auto" w:line="276" w:beforeAutospacing="1" w:after="142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pt-BR"/>
              </w:rPr>
              <w:t>A pontuação será zerada para o mês seguinte.</w:t>
            </w:r>
          </w:p>
        </w:tc>
      </w:tr>
    </w:tbl>
    <w:p>
      <w:pPr>
        <w:pStyle w:val="Normal"/>
        <w:spacing w:lineRule="auto" w:line="240" w:beforeAutospacing="1" w:after="0"/>
        <w:jc w:val="both"/>
        <w:rPr>
          <w:rFonts w:ascii="Times New Roman" w:hAnsi="Times New Roman" w:eastAsia="Times New Roman" w:cs="Times New Roman"/>
          <w:sz w:val="24"/>
          <w:szCs w:val="24"/>
          <w:lang w:eastAsia="pt-BR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pt-BR"/>
        </w:rPr>
      </w:r>
    </w:p>
    <w:tbl>
      <w:tblPr>
        <w:tblW w:w="9645" w:type="dxa"/>
        <w:jc w:val="left"/>
        <w:tblInd w:w="0" w:type="dxa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firstRow="1" w:noVBand="1" w:lastRow="0" w:firstColumn="1" w:lastColumn="0" w:noHBand="0" w:val="04a0"/>
      </w:tblPr>
      <w:tblGrid>
        <w:gridCol w:w="2450"/>
        <w:gridCol w:w="7194"/>
      </w:tblGrid>
      <w:tr>
        <w:trPr/>
        <w:tc>
          <w:tcPr>
            <w:tcW w:w="96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5EB91E" w:val="clear"/>
          </w:tcPr>
          <w:p>
            <w:pPr>
              <w:pStyle w:val="Normal"/>
              <w:widowControl w:val="false"/>
              <w:spacing w:lineRule="auto" w:line="276" w:beforeAutospacing="1" w:after="142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pt-BR"/>
              </w:rPr>
              <w:t>DESCONTOS</w:t>
            </w:r>
          </w:p>
        </w:tc>
      </w:tr>
      <w:tr>
        <w:trPr/>
        <w:tc>
          <w:tcPr>
            <w:tcW w:w="2450" w:type="dxa"/>
            <w:tcBorders>
              <w:left w:val="single" w:sz="6" w:space="0" w:color="000000"/>
              <w:bottom w:val="single" w:sz="6" w:space="0" w:color="000000"/>
            </w:tcBorders>
            <w:shd w:fill="auto" w:val="clear"/>
            <w:tcMar>
              <w:top w:w="0" w:type="dxa"/>
              <w:right w:w="0" w:type="dxa"/>
            </w:tcMar>
          </w:tcPr>
          <w:p>
            <w:pPr>
              <w:pStyle w:val="Normal"/>
              <w:widowControl w:val="false"/>
              <w:spacing w:lineRule="auto" w:line="276" w:beforeAutospacing="1" w:after="142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pt-BR"/>
              </w:rPr>
              <w:t>Pontos</w:t>
            </w:r>
          </w:p>
        </w:tc>
        <w:tc>
          <w:tcPr>
            <w:tcW w:w="719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tcMar>
              <w:top w:w="0" w:type="dxa"/>
            </w:tcMar>
          </w:tcPr>
          <w:p>
            <w:pPr>
              <w:pStyle w:val="Normal"/>
              <w:widowControl w:val="false"/>
              <w:spacing w:lineRule="auto" w:line="276" w:beforeAutospacing="1" w:after="142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pt-BR"/>
              </w:rPr>
              <w:t>Desconto</w:t>
            </w:r>
          </w:p>
        </w:tc>
      </w:tr>
      <w:tr>
        <w:trPr/>
        <w:tc>
          <w:tcPr>
            <w:tcW w:w="2450" w:type="dxa"/>
            <w:tcBorders>
              <w:left w:val="single" w:sz="6" w:space="0" w:color="000000"/>
              <w:bottom w:val="single" w:sz="6" w:space="0" w:color="000000"/>
            </w:tcBorders>
            <w:shd w:fill="auto" w:val="clear"/>
            <w:tcMar>
              <w:top w:w="0" w:type="dxa"/>
              <w:right w:w="0" w:type="dxa"/>
            </w:tcMar>
          </w:tcPr>
          <w:p>
            <w:pPr>
              <w:pStyle w:val="Normal"/>
              <w:widowControl w:val="false"/>
              <w:spacing w:lineRule="auto" w:line="276" w:beforeAutospacing="1" w:after="142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pt-BR"/>
              </w:rPr>
              <w:t>2,0 a 5,0</w:t>
            </w:r>
          </w:p>
        </w:tc>
        <w:tc>
          <w:tcPr>
            <w:tcW w:w="719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tcMar>
              <w:top w:w="0" w:type="dxa"/>
            </w:tcMar>
          </w:tcPr>
          <w:p>
            <w:pPr>
              <w:pStyle w:val="Normal"/>
              <w:widowControl w:val="false"/>
              <w:spacing w:lineRule="auto" w:line="276" w:beforeAutospacing="1" w:after="142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pt-BR"/>
              </w:rPr>
              <w:t>0,5% de desconto sobre o valor apurado para o mês de ocorrência</w:t>
            </w:r>
          </w:p>
        </w:tc>
      </w:tr>
      <w:tr>
        <w:trPr/>
        <w:tc>
          <w:tcPr>
            <w:tcW w:w="2450" w:type="dxa"/>
            <w:tcBorders>
              <w:left w:val="single" w:sz="6" w:space="0" w:color="000000"/>
              <w:bottom w:val="single" w:sz="6" w:space="0" w:color="000000"/>
            </w:tcBorders>
            <w:shd w:fill="auto" w:val="clear"/>
            <w:tcMar>
              <w:top w:w="0" w:type="dxa"/>
              <w:right w:w="0" w:type="dxa"/>
            </w:tcMar>
          </w:tcPr>
          <w:p>
            <w:pPr>
              <w:pStyle w:val="Normal"/>
              <w:widowControl w:val="false"/>
              <w:spacing w:lineRule="auto" w:line="276" w:beforeAutospacing="1" w:after="142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pt-BR"/>
              </w:rPr>
              <w:t>5,1 a 8,0</w:t>
            </w:r>
          </w:p>
        </w:tc>
        <w:tc>
          <w:tcPr>
            <w:tcW w:w="719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tcMar>
              <w:top w:w="0" w:type="dxa"/>
            </w:tcMar>
          </w:tcPr>
          <w:p>
            <w:pPr>
              <w:pStyle w:val="Normal"/>
              <w:widowControl w:val="false"/>
              <w:spacing w:lineRule="auto" w:line="276" w:beforeAutospacing="1" w:after="142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pt-BR"/>
              </w:rPr>
              <w:t>1% de desconto sobre o valor apurado para o mês de ocorrência</w:t>
            </w:r>
          </w:p>
        </w:tc>
      </w:tr>
      <w:tr>
        <w:trPr/>
        <w:tc>
          <w:tcPr>
            <w:tcW w:w="2450" w:type="dxa"/>
            <w:tcBorders>
              <w:left w:val="single" w:sz="6" w:space="0" w:color="000000"/>
              <w:bottom w:val="single" w:sz="6" w:space="0" w:color="000000"/>
            </w:tcBorders>
            <w:shd w:fill="auto" w:val="clear"/>
            <w:tcMar>
              <w:top w:w="0" w:type="dxa"/>
              <w:right w:w="0" w:type="dxa"/>
            </w:tcMar>
          </w:tcPr>
          <w:p>
            <w:pPr>
              <w:pStyle w:val="Normal"/>
              <w:widowControl w:val="false"/>
              <w:spacing w:lineRule="auto" w:line="276" w:beforeAutospacing="1" w:after="142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pt-BR"/>
              </w:rPr>
              <w:t>8,1 a 11,0</w:t>
            </w:r>
          </w:p>
        </w:tc>
        <w:tc>
          <w:tcPr>
            <w:tcW w:w="719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tcMar>
              <w:top w:w="0" w:type="dxa"/>
            </w:tcMar>
          </w:tcPr>
          <w:p>
            <w:pPr>
              <w:pStyle w:val="Normal"/>
              <w:widowControl w:val="false"/>
              <w:spacing w:lineRule="auto" w:line="276" w:beforeAutospacing="1" w:after="142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pt-BR"/>
              </w:rPr>
              <w:t>2% de desconto sobre o valor apurado para o mês de ocorrência</w:t>
            </w:r>
          </w:p>
        </w:tc>
      </w:tr>
      <w:tr>
        <w:trPr/>
        <w:tc>
          <w:tcPr>
            <w:tcW w:w="2450" w:type="dxa"/>
            <w:tcBorders>
              <w:left w:val="single" w:sz="6" w:space="0" w:color="000000"/>
              <w:bottom w:val="single" w:sz="6" w:space="0" w:color="000000"/>
            </w:tcBorders>
            <w:shd w:fill="auto" w:val="clear"/>
            <w:tcMar>
              <w:top w:w="0" w:type="dxa"/>
              <w:right w:w="0" w:type="dxa"/>
            </w:tcMar>
          </w:tcPr>
          <w:p>
            <w:pPr>
              <w:pStyle w:val="Normal"/>
              <w:widowControl w:val="false"/>
              <w:spacing w:lineRule="auto" w:line="276" w:beforeAutospacing="1" w:after="142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pt-BR"/>
              </w:rPr>
              <w:t>11,1 a 14,0</w:t>
            </w:r>
          </w:p>
        </w:tc>
        <w:tc>
          <w:tcPr>
            <w:tcW w:w="719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tcMar>
              <w:top w:w="0" w:type="dxa"/>
            </w:tcMar>
          </w:tcPr>
          <w:p>
            <w:pPr>
              <w:pStyle w:val="Normal"/>
              <w:widowControl w:val="false"/>
              <w:spacing w:lineRule="auto" w:line="276" w:beforeAutospacing="1" w:after="142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pt-BR"/>
              </w:rPr>
              <w:t>3% de desconto sobre o valor apurado para o mês de ocorrência</w:t>
            </w:r>
          </w:p>
        </w:tc>
      </w:tr>
      <w:tr>
        <w:trPr/>
        <w:tc>
          <w:tcPr>
            <w:tcW w:w="2450" w:type="dxa"/>
            <w:tcBorders>
              <w:left w:val="single" w:sz="6" w:space="0" w:color="000000"/>
              <w:bottom w:val="single" w:sz="6" w:space="0" w:color="000000"/>
            </w:tcBorders>
            <w:shd w:fill="auto" w:val="clear"/>
            <w:tcMar>
              <w:top w:w="0" w:type="dxa"/>
              <w:right w:w="0" w:type="dxa"/>
            </w:tcMar>
          </w:tcPr>
          <w:p>
            <w:pPr>
              <w:pStyle w:val="Normal"/>
              <w:widowControl w:val="false"/>
              <w:spacing w:lineRule="auto" w:line="276" w:beforeAutospacing="1" w:after="142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pt-BR"/>
              </w:rPr>
              <w:t>14,1 a 16,0</w:t>
            </w:r>
          </w:p>
        </w:tc>
        <w:tc>
          <w:tcPr>
            <w:tcW w:w="719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tcMar>
              <w:top w:w="0" w:type="dxa"/>
            </w:tcMar>
          </w:tcPr>
          <w:p>
            <w:pPr>
              <w:pStyle w:val="Normal"/>
              <w:widowControl w:val="false"/>
              <w:spacing w:lineRule="auto" w:line="276" w:beforeAutospacing="1" w:after="142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pt-BR"/>
              </w:rPr>
              <w:t>4% de desconto sobre o valor apurado para o mês de ocorrência</w:t>
            </w:r>
          </w:p>
        </w:tc>
      </w:tr>
      <w:tr>
        <w:trPr/>
        <w:tc>
          <w:tcPr>
            <w:tcW w:w="2450" w:type="dxa"/>
            <w:tcBorders>
              <w:left w:val="single" w:sz="6" w:space="0" w:color="000000"/>
              <w:bottom w:val="single" w:sz="6" w:space="0" w:color="000000"/>
            </w:tcBorders>
            <w:shd w:fill="auto" w:val="clear"/>
            <w:tcMar>
              <w:top w:w="0" w:type="dxa"/>
              <w:right w:w="0" w:type="dxa"/>
            </w:tcMar>
          </w:tcPr>
          <w:p>
            <w:pPr>
              <w:pStyle w:val="Normal"/>
              <w:widowControl w:val="false"/>
              <w:spacing w:lineRule="auto" w:line="276" w:beforeAutospacing="1" w:after="142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pt-BR"/>
              </w:rPr>
              <w:t>16,1 a 20,0</w:t>
            </w:r>
          </w:p>
        </w:tc>
        <w:tc>
          <w:tcPr>
            <w:tcW w:w="719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tcMar>
              <w:top w:w="0" w:type="dxa"/>
            </w:tcMar>
          </w:tcPr>
          <w:p>
            <w:pPr>
              <w:pStyle w:val="Normal"/>
              <w:widowControl w:val="false"/>
              <w:spacing w:lineRule="auto" w:line="276" w:beforeAutospacing="1" w:after="142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pt-BR"/>
              </w:rPr>
              <w:t>5% de desconto sobre o valor apurado para o mês de ocorrência</w:t>
            </w:r>
          </w:p>
        </w:tc>
      </w:tr>
      <w:tr>
        <w:trPr/>
        <w:tc>
          <w:tcPr>
            <w:tcW w:w="2450" w:type="dxa"/>
            <w:tcBorders>
              <w:left w:val="single" w:sz="6" w:space="0" w:color="000000"/>
              <w:bottom w:val="single" w:sz="6" w:space="0" w:color="000000"/>
            </w:tcBorders>
            <w:shd w:fill="auto" w:val="clear"/>
            <w:tcMar>
              <w:top w:w="0" w:type="dxa"/>
              <w:right w:w="0" w:type="dxa"/>
            </w:tcMar>
          </w:tcPr>
          <w:p>
            <w:pPr>
              <w:pStyle w:val="Normal"/>
              <w:widowControl w:val="false"/>
              <w:spacing w:lineRule="auto" w:line="276" w:beforeAutospacing="1" w:after="142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pt-BR"/>
              </w:rPr>
              <w:t>20,1 a 25,0</w:t>
            </w:r>
          </w:p>
        </w:tc>
        <w:tc>
          <w:tcPr>
            <w:tcW w:w="719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tcMar>
              <w:top w:w="0" w:type="dxa"/>
            </w:tcMar>
          </w:tcPr>
          <w:p>
            <w:pPr>
              <w:pStyle w:val="Normal"/>
              <w:widowControl w:val="false"/>
              <w:spacing w:lineRule="auto" w:line="276" w:beforeAutospacing="1" w:after="142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pt-BR"/>
              </w:rPr>
              <w:t>7% de desconto sobre o valor apurado para o mês de ocorrência</w:t>
            </w:r>
          </w:p>
        </w:tc>
      </w:tr>
      <w:tr>
        <w:trPr/>
        <w:tc>
          <w:tcPr>
            <w:tcW w:w="2450" w:type="dxa"/>
            <w:tcBorders>
              <w:left w:val="single" w:sz="6" w:space="0" w:color="000000"/>
              <w:bottom w:val="single" w:sz="6" w:space="0" w:color="000000"/>
            </w:tcBorders>
            <w:shd w:fill="auto" w:val="clear"/>
            <w:tcMar>
              <w:top w:w="0" w:type="dxa"/>
              <w:right w:w="0" w:type="dxa"/>
            </w:tcMar>
          </w:tcPr>
          <w:p>
            <w:pPr>
              <w:pStyle w:val="Normal"/>
              <w:widowControl w:val="false"/>
              <w:spacing w:lineRule="auto" w:line="276" w:beforeAutospacing="1" w:after="142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pt-BR"/>
              </w:rPr>
              <w:t>25,1 a 30,0</w:t>
            </w:r>
          </w:p>
        </w:tc>
        <w:tc>
          <w:tcPr>
            <w:tcW w:w="719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tcMar>
              <w:top w:w="0" w:type="dxa"/>
            </w:tcMar>
          </w:tcPr>
          <w:p>
            <w:pPr>
              <w:pStyle w:val="Normal"/>
              <w:widowControl w:val="false"/>
              <w:spacing w:lineRule="auto" w:line="276" w:beforeAutospacing="1" w:after="142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pt-BR"/>
              </w:rPr>
              <w:t>10% de desconto sobre o valor apurado para o mês de ocorrência</w:t>
            </w:r>
          </w:p>
        </w:tc>
      </w:tr>
      <w:tr>
        <w:trPr/>
        <w:tc>
          <w:tcPr>
            <w:tcW w:w="2450" w:type="dxa"/>
            <w:tcBorders>
              <w:left w:val="single" w:sz="6" w:space="0" w:color="000000"/>
              <w:bottom w:val="single" w:sz="6" w:space="0" w:color="000000"/>
            </w:tcBorders>
            <w:shd w:fill="auto" w:val="clear"/>
            <w:tcMar>
              <w:top w:w="0" w:type="dxa"/>
              <w:right w:w="0" w:type="dxa"/>
            </w:tcMar>
          </w:tcPr>
          <w:p>
            <w:pPr>
              <w:pStyle w:val="Normal"/>
              <w:widowControl w:val="false"/>
              <w:spacing w:lineRule="auto" w:line="276" w:beforeAutospacing="1" w:after="142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pt-BR"/>
              </w:rPr>
              <w:t>1.</w:t>
            </w:r>
          </w:p>
        </w:tc>
        <w:tc>
          <w:tcPr>
            <w:tcW w:w="719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tcMar>
              <w:top w:w="0" w:type="dxa"/>
            </w:tcMar>
          </w:tcPr>
          <w:p>
            <w:pPr>
              <w:pStyle w:val="Normal"/>
              <w:widowControl w:val="false"/>
              <w:spacing w:lineRule="auto" w:line="276" w:beforeAutospacing="1" w:after="142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pt-BR"/>
              </w:rPr>
              <w:t>O descumprimento da mesma condição contratual (reincidência), apurada por ocorrência, dentro do mês de competência, sofrerá acréscimo de 5,0 pontos na contagem final do desconto.</w:t>
            </w:r>
          </w:p>
        </w:tc>
      </w:tr>
      <w:tr>
        <w:trPr/>
        <w:tc>
          <w:tcPr>
            <w:tcW w:w="2450" w:type="dxa"/>
            <w:tcBorders>
              <w:left w:val="single" w:sz="6" w:space="0" w:color="000000"/>
              <w:bottom w:val="single" w:sz="6" w:space="0" w:color="000000"/>
            </w:tcBorders>
            <w:shd w:fill="auto" w:val="clear"/>
            <w:tcMar>
              <w:top w:w="0" w:type="dxa"/>
              <w:right w:w="0" w:type="dxa"/>
            </w:tcMar>
          </w:tcPr>
          <w:p>
            <w:pPr>
              <w:pStyle w:val="Normal"/>
              <w:widowControl w:val="false"/>
              <w:spacing w:lineRule="auto" w:line="276" w:beforeAutospacing="1" w:after="142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pt-BR"/>
              </w:rPr>
              <w:t>2.</w:t>
            </w:r>
          </w:p>
        </w:tc>
        <w:tc>
          <w:tcPr>
            <w:tcW w:w="719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tcMar>
              <w:top w:w="0" w:type="dxa"/>
            </w:tcMar>
          </w:tcPr>
          <w:p>
            <w:pPr>
              <w:pStyle w:val="Normal"/>
              <w:widowControl w:val="false"/>
              <w:spacing w:lineRule="auto" w:line="276" w:beforeAutospacing="1" w:after="142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pt-BR"/>
              </w:rPr>
              <w:t>Condutas reincidentes no decorrer do contrato devem ser avaliadas pela Gestão do contrato para a aplicação das devidas sanções, sem prejuízo do desconto correspondente.</w:t>
            </w:r>
          </w:p>
        </w:tc>
      </w:tr>
    </w:tbl>
    <w:p>
      <w:pPr>
        <w:pStyle w:val="Normal"/>
        <w:spacing w:lineRule="auto" w:line="240" w:beforeAutospacing="1" w:after="0"/>
        <w:jc w:val="both"/>
        <w:rPr>
          <w:rFonts w:ascii="Times New Roman" w:hAnsi="Times New Roman" w:eastAsia="Times New Roman" w:cs="Times New Roman"/>
          <w:sz w:val="24"/>
          <w:szCs w:val="24"/>
          <w:lang w:eastAsia="pt-BR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pt-BR"/>
        </w:rPr>
      </w:r>
    </w:p>
    <w:p>
      <w:pPr>
        <w:pStyle w:val="Normal"/>
        <w:spacing w:before="0" w:after="160"/>
        <w:jc w:val="both"/>
        <w:rPr/>
      </w:pPr>
      <w:r>
        <w:rPr/>
      </w:r>
    </w:p>
    <w:sectPr>
      <w:type w:val="nextPage"/>
      <w:pgSz w:w="11906" w:h="16838"/>
      <w:pgMar w:left="1701" w:right="1133" w:gutter="0" w:header="0" w:top="993" w:footer="0" w:bottom="1417"/>
      <w:pgNumType w:fmt="decimal"/>
      <w:formProt w:val="false"/>
      <w:textDirection w:val="lrTb"/>
      <w:docGrid w:type="default" w:linePitch="36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t-B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t-BR" w:eastAsia="en-US" w:bidi="ar-SA"/>
    </w:rPr>
  </w:style>
  <w:style w:type="paragraph" w:styleId="Heading1">
    <w:name w:val="Heading 1"/>
    <w:basedOn w:val="Normal"/>
    <w:link w:val="Ttulo1Char"/>
    <w:uiPriority w:val="9"/>
    <w:qFormat/>
    <w:rsid w:val="00240228"/>
    <w:pPr>
      <w:keepNext w:val="true"/>
      <w:spacing w:lineRule="auto" w:line="240" w:beforeAutospacing="1" w:afterAutospacing="1"/>
      <w:jc w:val="center"/>
      <w:outlineLvl w:val="0"/>
    </w:pPr>
    <w:rPr>
      <w:rFonts w:ascii="Times New Roman" w:hAnsi="Times New Roman" w:eastAsia="Times New Roman" w:cs="Times New Roman"/>
      <w:b/>
      <w:bCs/>
      <w:kern w:val="2"/>
      <w:sz w:val="48"/>
      <w:szCs w:val="48"/>
      <w:lang w:eastAsia="pt-BR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tulo1Char" w:customStyle="1">
    <w:name w:val="Título 1 Char"/>
    <w:basedOn w:val="DefaultParagraphFont"/>
    <w:uiPriority w:val="9"/>
    <w:qFormat/>
    <w:rsid w:val="00240228"/>
    <w:rPr>
      <w:rFonts w:ascii="Times New Roman" w:hAnsi="Times New Roman" w:eastAsia="Times New Roman" w:cs="Times New Roman"/>
      <w:b/>
      <w:bCs/>
      <w:kern w:val="2"/>
      <w:sz w:val="48"/>
      <w:szCs w:val="48"/>
      <w:lang w:eastAsia="pt-BR"/>
    </w:rPr>
  </w:style>
  <w:style w:type="paragraph" w:styleId="Ttulo">
    <w:name w:val="Títu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Ndice" w:customStyle="1">
    <w:name w:val="Índice"/>
    <w:basedOn w:val="Normal"/>
    <w:qFormat/>
    <w:pPr>
      <w:suppressLineNumbers/>
    </w:pPr>
    <w:rPr>
      <w:rFonts w:cs="Arial"/>
    </w:rPr>
  </w:style>
  <w:style w:type="paragraph" w:styleId="Title">
    <w:name w:val="Title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qFormat/>
    <w:rsid w:val="00240228"/>
    <w:pPr>
      <w:spacing w:lineRule="auto" w:line="276" w:beforeAutospacing="1" w:after="142"/>
    </w:pPr>
    <w:rPr>
      <w:rFonts w:ascii="Times New Roman" w:hAnsi="Times New Roman" w:eastAsia="Times New Roman" w:cs="Times New Roman"/>
      <w:sz w:val="24"/>
      <w:szCs w:val="24"/>
      <w:lang w:eastAsia="pt-BR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Tema do Office">
  <a:themeElements>
    <a:clrScheme name="Escritório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Application>LibreOffice/24.2.1.2$Windows_X86_64 LibreOffice_project/db4def46b0453cc22e2d0305797cf981b68ef5ac</Application>
  <AppVersion>15.0000</AppVersion>
  <DocSecurity>0</DocSecurity>
  <Pages>6</Pages>
  <Words>1220</Words>
  <Characters>6881</Characters>
  <CharactersWithSpaces>7968</CharactersWithSpaces>
  <Paragraphs>142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2024-04-09T16:46:00Z</dcterms:created>
  <dc:creator>HMRSALC1</dc:creator>
  <dc:description/>
  <dc:language>pt-BR</dc:language>
  <cp:lastModifiedBy/>
  <cp:lastPrinted>2024-06-04T07:47:05Z</cp:lastPrinted>
  <dcterms:modified xsi:type="dcterms:W3CDTF">2025-12-04T09:56:49Z</dcterms:modified>
  <cp:revision>10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